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63671" w14:textId="77777777" w:rsidR="00F64B56" w:rsidRPr="008A09D8" w:rsidRDefault="00F64B56" w:rsidP="007D13A2">
      <w:pPr>
        <w:spacing w:line="276" w:lineRule="auto"/>
        <w:jc w:val="center"/>
        <w:rPr>
          <w:b/>
          <w:sz w:val="24"/>
          <w:szCs w:val="20"/>
          <w:lang w:val="id-ID"/>
        </w:rPr>
      </w:pPr>
      <w:r w:rsidRPr="008A09D8">
        <w:rPr>
          <w:b/>
          <w:sz w:val="24"/>
          <w:szCs w:val="20"/>
        </w:rPr>
        <w:t>P</w:t>
      </w:r>
      <w:r w:rsidRPr="008A09D8">
        <w:rPr>
          <w:b/>
          <w:sz w:val="24"/>
          <w:szCs w:val="20"/>
          <w:lang w:val="id-ID"/>
        </w:rPr>
        <w:t>otensi Minuman Sinom terhadap Perubahan Kadar Asam Urat Tikus Hiperurisemia</w:t>
      </w:r>
    </w:p>
    <w:p w14:paraId="1D137009" w14:textId="77777777" w:rsidR="00F64B56" w:rsidRPr="008A09D8" w:rsidRDefault="00F64B56" w:rsidP="007D13A2">
      <w:pPr>
        <w:tabs>
          <w:tab w:val="left" w:pos="3632"/>
        </w:tabs>
        <w:spacing w:line="276" w:lineRule="auto"/>
        <w:jc w:val="center"/>
        <w:rPr>
          <w:b/>
          <w:sz w:val="20"/>
          <w:szCs w:val="20"/>
          <w:lang w:val="id-ID"/>
        </w:rPr>
      </w:pPr>
    </w:p>
    <w:p w14:paraId="0DBDD1BB" w14:textId="77777777" w:rsidR="00F64B56" w:rsidRPr="008A09D8" w:rsidRDefault="00F64B56" w:rsidP="007D13A2">
      <w:pPr>
        <w:tabs>
          <w:tab w:val="left" w:pos="3632"/>
        </w:tabs>
        <w:spacing w:line="276" w:lineRule="auto"/>
        <w:jc w:val="center"/>
        <w:rPr>
          <w:b/>
          <w:sz w:val="20"/>
          <w:szCs w:val="20"/>
          <w:vertAlign w:val="superscript"/>
          <w:lang w:val="id-ID"/>
        </w:rPr>
      </w:pPr>
      <w:r w:rsidRPr="008A09D8">
        <w:rPr>
          <w:b/>
          <w:sz w:val="20"/>
          <w:szCs w:val="20"/>
          <w:lang w:val="id-ID"/>
        </w:rPr>
        <w:t>Nurina Widya Rizeki</w:t>
      </w:r>
      <w:r w:rsidRPr="008A09D8">
        <w:rPr>
          <w:b/>
          <w:sz w:val="20"/>
          <w:szCs w:val="20"/>
          <w:vertAlign w:val="superscript"/>
          <w:lang w:val="id-ID"/>
        </w:rPr>
        <w:t>1</w:t>
      </w:r>
      <w:r w:rsidR="001C30D5">
        <w:rPr>
          <w:b/>
          <w:sz w:val="20"/>
          <w:szCs w:val="20"/>
          <w:vertAlign w:val="superscript"/>
          <w:lang w:val="id-ID"/>
        </w:rPr>
        <w:t>*</w:t>
      </w:r>
      <w:r w:rsidRPr="008A09D8">
        <w:rPr>
          <w:b/>
          <w:sz w:val="20"/>
          <w:szCs w:val="20"/>
          <w:lang w:val="id-ID"/>
        </w:rPr>
        <w:t>, Zora Olivia</w:t>
      </w:r>
      <w:r w:rsidRPr="008A09D8">
        <w:rPr>
          <w:b/>
          <w:sz w:val="20"/>
          <w:szCs w:val="20"/>
          <w:vertAlign w:val="superscript"/>
          <w:lang w:val="id-ID"/>
        </w:rPr>
        <w:t>2</w:t>
      </w:r>
    </w:p>
    <w:p w14:paraId="462398D9" w14:textId="77777777" w:rsidR="00F64B56" w:rsidRPr="001C30D5" w:rsidRDefault="001C30D5" w:rsidP="007D13A2">
      <w:pPr>
        <w:tabs>
          <w:tab w:val="left" w:pos="3632"/>
        </w:tabs>
        <w:spacing w:line="276" w:lineRule="auto"/>
        <w:jc w:val="center"/>
        <w:rPr>
          <w:sz w:val="20"/>
          <w:szCs w:val="20"/>
          <w:lang w:val="id-ID"/>
        </w:rPr>
      </w:pPr>
      <w:r w:rsidRPr="001C30D5">
        <w:rPr>
          <w:sz w:val="20"/>
          <w:szCs w:val="20"/>
          <w:vertAlign w:val="superscript"/>
          <w:lang w:val="id-ID"/>
        </w:rPr>
        <w:t>1)</w:t>
      </w:r>
      <w:r w:rsidRPr="001C30D5">
        <w:rPr>
          <w:sz w:val="20"/>
          <w:szCs w:val="20"/>
          <w:lang w:val="id-ID"/>
        </w:rPr>
        <w:t xml:space="preserve"> Program Studi Gizi Klinik, Jurusan Kesehatan, Politeknik Negeri Jember</w:t>
      </w:r>
    </w:p>
    <w:p w14:paraId="5EAB9339" w14:textId="77777777" w:rsidR="001C30D5" w:rsidRDefault="001C30D5" w:rsidP="007D13A2">
      <w:pPr>
        <w:tabs>
          <w:tab w:val="left" w:pos="3632"/>
        </w:tabs>
        <w:spacing w:line="276" w:lineRule="auto"/>
        <w:jc w:val="center"/>
        <w:rPr>
          <w:sz w:val="20"/>
          <w:szCs w:val="20"/>
          <w:lang w:val="id-ID"/>
        </w:rPr>
      </w:pPr>
      <w:r>
        <w:rPr>
          <w:sz w:val="20"/>
          <w:szCs w:val="20"/>
          <w:vertAlign w:val="superscript"/>
          <w:lang w:val="id-ID"/>
        </w:rPr>
        <w:t>2</w:t>
      </w:r>
      <w:r w:rsidRPr="001C30D5">
        <w:rPr>
          <w:sz w:val="20"/>
          <w:szCs w:val="20"/>
          <w:vertAlign w:val="superscript"/>
          <w:lang w:val="id-ID"/>
        </w:rPr>
        <w:t>)</w:t>
      </w:r>
      <w:r w:rsidRPr="001C30D5">
        <w:rPr>
          <w:sz w:val="20"/>
          <w:szCs w:val="20"/>
          <w:lang w:val="id-ID"/>
        </w:rPr>
        <w:t xml:space="preserve"> Program Studi Gizi Klinik, Jurusan Kesehatan, Politeknik Negeri Jember</w:t>
      </w:r>
    </w:p>
    <w:p w14:paraId="773BDC1A" w14:textId="77777777" w:rsidR="001C30D5" w:rsidRPr="001C30D5" w:rsidRDefault="001C30D5" w:rsidP="007D13A2">
      <w:pPr>
        <w:tabs>
          <w:tab w:val="left" w:pos="3632"/>
        </w:tabs>
        <w:spacing w:line="276" w:lineRule="auto"/>
        <w:jc w:val="center"/>
        <w:rPr>
          <w:sz w:val="20"/>
          <w:szCs w:val="20"/>
          <w:lang w:val="id-ID"/>
        </w:rPr>
      </w:pPr>
    </w:p>
    <w:p w14:paraId="4E77CEF3" w14:textId="77777777" w:rsidR="00F64B56" w:rsidRPr="001C30D5" w:rsidRDefault="001C30D5" w:rsidP="007D13A2">
      <w:pPr>
        <w:tabs>
          <w:tab w:val="left" w:pos="3632"/>
        </w:tabs>
        <w:spacing w:line="276" w:lineRule="auto"/>
        <w:jc w:val="center"/>
        <w:rPr>
          <w:i/>
          <w:sz w:val="20"/>
          <w:szCs w:val="20"/>
          <w:lang w:val="id-ID"/>
        </w:rPr>
      </w:pPr>
      <w:r>
        <w:rPr>
          <w:sz w:val="20"/>
          <w:szCs w:val="20"/>
          <w:lang w:val="id-ID"/>
        </w:rPr>
        <w:t xml:space="preserve">* </w:t>
      </w:r>
      <w:r>
        <w:rPr>
          <w:i/>
          <w:sz w:val="20"/>
          <w:szCs w:val="20"/>
          <w:lang w:val="id-ID"/>
        </w:rPr>
        <w:t>Korespondensi: Nurina Widya Rizeki, e</w:t>
      </w:r>
      <w:r w:rsidR="00F64B56" w:rsidRPr="008A09D8">
        <w:rPr>
          <w:i/>
          <w:sz w:val="20"/>
          <w:szCs w:val="20"/>
          <w:lang w:val="id-ID"/>
        </w:rPr>
        <w:t>mail: nurinawidya0829</w:t>
      </w:r>
      <w:r w:rsidR="00F64B56" w:rsidRPr="008A09D8">
        <w:rPr>
          <w:i/>
          <w:sz w:val="20"/>
          <w:szCs w:val="20"/>
        </w:rPr>
        <w:t>@gmail.com</w:t>
      </w:r>
    </w:p>
    <w:p w14:paraId="654B23B5" w14:textId="77777777" w:rsidR="00F64B56" w:rsidRDefault="00F64B56" w:rsidP="007D13A2">
      <w:pPr>
        <w:tabs>
          <w:tab w:val="left" w:pos="3632"/>
        </w:tabs>
        <w:spacing w:line="276" w:lineRule="auto"/>
        <w:jc w:val="center"/>
        <w:rPr>
          <w:i/>
          <w:sz w:val="20"/>
          <w:szCs w:val="20"/>
          <w:lang w:val="id-ID"/>
        </w:rPr>
      </w:pPr>
    </w:p>
    <w:p w14:paraId="0EA5B205" w14:textId="77777777" w:rsidR="001C30D5" w:rsidRPr="008A09D8" w:rsidRDefault="001C30D5" w:rsidP="007D13A2">
      <w:pPr>
        <w:tabs>
          <w:tab w:val="left" w:pos="3632"/>
        </w:tabs>
        <w:spacing w:line="276" w:lineRule="auto"/>
        <w:jc w:val="center"/>
        <w:rPr>
          <w:i/>
          <w:sz w:val="20"/>
          <w:szCs w:val="20"/>
          <w:lang w:val="id-ID"/>
        </w:rPr>
      </w:pPr>
    </w:p>
    <w:p w14:paraId="05AB2670" w14:textId="77777777" w:rsidR="007D13A2" w:rsidRPr="00CB3F2A" w:rsidRDefault="007D13A2" w:rsidP="007D13A2">
      <w:pPr>
        <w:pStyle w:val="Heading1"/>
        <w:spacing w:before="0" w:line="240" w:lineRule="auto"/>
        <w:jc w:val="center"/>
        <w:rPr>
          <w:rFonts w:ascii="Times New Roman" w:hAnsi="Times New Roman"/>
          <w:i/>
          <w:color w:val="000000" w:themeColor="text1"/>
          <w:sz w:val="22"/>
          <w:szCs w:val="24"/>
        </w:rPr>
      </w:pPr>
      <w:bookmarkStart w:id="0" w:name="_Toc43231568"/>
      <w:r w:rsidRPr="00CB3F2A">
        <w:rPr>
          <w:rFonts w:ascii="Times New Roman" w:hAnsi="Times New Roman"/>
          <w:i/>
          <w:color w:val="000000" w:themeColor="text1"/>
          <w:sz w:val="22"/>
          <w:szCs w:val="24"/>
        </w:rPr>
        <w:t>ABSTRAK</w:t>
      </w:r>
      <w:bookmarkEnd w:id="0"/>
    </w:p>
    <w:p w14:paraId="11EE4825" w14:textId="048712A5" w:rsidR="007D13A2" w:rsidRPr="0042741B" w:rsidRDefault="007D13A2" w:rsidP="00003C8E">
      <w:pPr>
        <w:spacing w:line="276" w:lineRule="auto"/>
        <w:rPr>
          <w:lang w:bidi="en-US"/>
        </w:rPr>
      </w:pPr>
      <w:r w:rsidRPr="00C74B83">
        <w:rPr>
          <w:i/>
          <w:szCs w:val="24"/>
          <w:lang w:val="id-ID"/>
        </w:rPr>
        <w:t>Hiperurisemia merupakan peningka</w:t>
      </w:r>
      <w:r w:rsidR="008C5971">
        <w:rPr>
          <w:i/>
          <w:szCs w:val="24"/>
          <w:lang w:val="id-ID"/>
        </w:rPr>
        <w:t>tan kadar asam urat</w:t>
      </w:r>
      <w:r w:rsidR="008C5971" w:rsidRPr="0042741B">
        <w:rPr>
          <w:i/>
          <w:szCs w:val="24"/>
          <w:lang w:val="id-ID"/>
        </w:rPr>
        <w:t xml:space="preserve"> </w:t>
      </w:r>
      <w:r w:rsidRPr="00C74B83">
        <w:rPr>
          <w:i/>
          <w:szCs w:val="24"/>
          <w:lang w:val="id-ID"/>
        </w:rPr>
        <w:t xml:space="preserve">yang disebabkan oleh penurunan ekskresi asam urat, </w:t>
      </w:r>
      <w:r w:rsidR="008C5971" w:rsidRPr="0042741B">
        <w:rPr>
          <w:i/>
          <w:szCs w:val="24"/>
          <w:lang w:val="id-ID"/>
        </w:rPr>
        <w:t xml:space="preserve">kelebihan </w:t>
      </w:r>
      <w:r w:rsidR="008C5971">
        <w:rPr>
          <w:i/>
          <w:szCs w:val="24"/>
          <w:lang w:val="id-ID"/>
        </w:rPr>
        <w:t>produksi asam urat</w:t>
      </w:r>
      <w:r w:rsidR="000570A3">
        <w:rPr>
          <w:i/>
          <w:szCs w:val="24"/>
          <w:lang w:val="id-ID"/>
        </w:rPr>
        <w:t>, atau mungkin karena keduanya</w:t>
      </w:r>
      <w:r w:rsidR="000570A3" w:rsidRPr="0042741B">
        <w:rPr>
          <w:i/>
          <w:szCs w:val="24"/>
          <w:lang w:val="id-ID"/>
        </w:rPr>
        <w:t xml:space="preserve">. </w:t>
      </w:r>
      <w:r w:rsidR="000570A3">
        <w:rPr>
          <w:i/>
          <w:szCs w:val="24"/>
          <w:lang w:val="id-ID"/>
        </w:rPr>
        <w:t>Minuman sinom me</w:t>
      </w:r>
      <w:r w:rsidR="000570A3" w:rsidRPr="0042741B">
        <w:rPr>
          <w:i/>
          <w:szCs w:val="24"/>
          <w:lang w:val="id-ID"/>
        </w:rPr>
        <w:t>ngandung</w:t>
      </w:r>
      <w:r w:rsidR="000570A3">
        <w:rPr>
          <w:i/>
          <w:szCs w:val="24"/>
          <w:lang w:val="id-ID"/>
        </w:rPr>
        <w:t xml:space="preserve"> </w:t>
      </w:r>
      <w:r w:rsidR="00B12890" w:rsidRPr="0042741B">
        <w:rPr>
          <w:i/>
          <w:szCs w:val="24"/>
          <w:lang w:val="id-ID"/>
        </w:rPr>
        <w:t xml:space="preserve">vitamin C sebanyak </w:t>
      </w:r>
      <w:r w:rsidR="00986144" w:rsidRPr="0042741B">
        <w:rPr>
          <w:i/>
          <w:szCs w:val="24"/>
          <w:lang w:val="id-ID"/>
        </w:rPr>
        <w:t>26,307 mg/100 ml</w:t>
      </w:r>
      <w:r w:rsidR="00B12890" w:rsidRPr="0042741B">
        <w:rPr>
          <w:i/>
          <w:szCs w:val="24"/>
          <w:lang w:val="id-ID"/>
        </w:rPr>
        <w:t xml:space="preserve"> </w:t>
      </w:r>
      <w:r w:rsidR="008C5971" w:rsidRPr="0042741B">
        <w:rPr>
          <w:i/>
          <w:szCs w:val="24"/>
          <w:lang w:val="id-ID"/>
        </w:rPr>
        <w:t>yang</w:t>
      </w:r>
      <w:r w:rsidR="000570A3" w:rsidRPr="0042741B">
        <w:rPr>
          <w:i/>
          <w:szCs w:val="24"/>
          <w:lang w:val="id-ID"/>
        </w:rPr>
        <w:t xml:space="preserve"> </w:t>
      </w:r>
      <w:r w:rsidR="008C5971" w:rsidRPr="0042741B">
        <w:rPr>
          <w:i/>
          <w:szCs w:val="24"/>
          <w:lang w:val="id-ID"/>
        </w:rPr>
        <w:t>d</w:t>
      </w:r>
      <w:r w:rsidR="00986144" w:rsidRPr="0042741B">
        <w:rPr>
          <w:i/>
          <w:szCs w:val="24"/>
          <w:lang w:val="id-ID"/>
        </w:rPr>
        <w:t>iduga memiliki potensi dalam menurunkan</w:t>
      </w:r>
      <w:r w:rsidR="00B12890" w:rsidRPr="0042741B">
        <w:rPr>
          <w:i/>
          <w:szCs w:val="24"/>
          <w:lang w:val="id-ID"/>
        </w:rPr>
        <w:t xml:space="preserve"> kadar </w:t>
      </w:r>
      <w:r w:rsidR="008C5971" w:rsidRPr="0042741B">
        <w:rPr>
          <w:i/>
          <w:szCs w:val="24"/>
          <w:lang w:val="id-ID"/>
        </w:rPr>
        <w:t>asam urat</w:t>
      </w:r>
      <w:r w:rsidRPr="00C74B83">
        <w:rPr>
          <w:i/>
          <w:szCs w:val="24"/>
          <w:lang w:val="id-ID"/>
        </w:rPr>
        <w:t>. Tujuan peneli</w:t>
      </w:r>
      <w:r w:rsidR="008C5971">
        <w:rPr>
          <w:i/>
          <w:szCs w:val="24"/>
          <w:lang w:val="id-ID"/>
        </w:rPr>
        <w:t>tian ini adalah untuk men</w:t>
      </w:r>
      <w:r w:rsidR="008C5971" w:rsidRPr="0042741B">
        <w:rPr>
          <w:i/>
          <w:szCs w:val="24"/>
          <w:lang w:val="id-ID"/>
        </w:rPr>
        <w:t>ganalisis</w:t>
      </w:r>
      <w:r w:rsidRPr="00C74B83">
        <w:rPr>
          <w:i/>
          <w:szCs w:val="24"/>
          <w:lang w:val="id-ID"/>
        </w:rPr>
        <w:t xml:space="preserve"> potensi minuman sinom terhadap perubahan kadar asam urat tikus putih (Rattus norvegicus) jantan galur wistar hiperurisemia. </w:t>
      </w:r>
      <w:proofErr w:type="spellStart"/>
      <w:r w:rsidRPr="007D13A2">
        <w:rPr>
          <w:i/>
          <w:szCs w:val="24"/>
        </w:rPr>
        <w:t>Jenis</w:t>
      </w:r>
      <w:proofErr w:type="spellEnd"/>
      <w:r w:rsidRPr="007D13A2">
        <w:rPr>
          <w:i/>
          <w:szCs w:val="24"/>
        </w:rPr>
        <w:t xml:space="preserve"> </w:t>
      </w:r>
      <w:proofErr w:type="spellStart"/>
      <w:r w:rsidRPr="007D13A2">
        <w:rPr>
          <w:i/>
          <w:szCs w:val="24"/>
        </w:rPr>
        <w:t>penelitian</w:t>
      </w:r>
      <w:proofErr w:type="spellEnd"/>
      <w:r w:rsidRPr="007D13A2">
        <w:rPr>
          <w:i/>
          <w:szCs w:val="24"/>
        </w:rPr>
        <w:t xml:space="preserve"> </w:t>
      </w:r>
      <w:proofErr w:type="spellStart"/>
      <w:r w:rsidRPr="007D13A2">
        <w:rPr>
          <w:i/>
          <w:szCs w:val="24"/>
        </w:rPr>
        <w:t>ini</w:t>
      </w:r>
      <w:proofErr w:type="spellEnd"/>
      <w:r w:rsidRPr="007D13A2">
        <w:rPr>
          <w:i/>
          <w:szCs w:val="24"/>
        </w:rPr>
        <w:t xml:space="preserve"> </w:t>
      </w:r>
      <w:proofErr w:type="spellStart"/>
      <w:r w:rsidRPr="007D13A2">
        <w:rPr>
          <w:i/>
          <w:szCs w:val="24"/>
        </w:rPr>
        <w:t>adalah</w:t>
      </w:r>
      <w:proofErr w:type="spellEnd"/>
      <w:r w:rsidRPr="007D13A2">
        <w:rPr>
          <w:i/>
          <w:szCs w:val="24"/>
        </w:rPr>
        <w:t xml:space="preserve"> true experimental </w:t>
      </w:r>
      <w:proofErr w:type="spellStart"/>
      <w:r w:rsidRPr="007D13A2">
        <w:rPr>
          <w:i/>
          <w:szCs w:val="24"/>
        </w:rPr>
        <w:t>dengan</w:t>
      </w:r>
      <w:proofErr w:type="spellEnd"/>
      <w:r w:rsidRPr="007D13A2">
        <w:rPr>
          <w:i/>
          <w:szCs w:val="24"/>
        </w:rPr>
        <w:t xml:space="preserve"> pre-</w:t>
      </w:r>
      <w:proofErr w:type="spellStart"/>
      <w:r w:rsidRPr="007D13A2">
        <w:rPr>
          <w:i/>
          <w:szCs w:val="24"/>
        </w:rPr>
        <w:t>post test</w:t>
      </w:r>
      <w:proofErr w:type="spellEnd"/>
      <w:r w:rsidRPr="007D13A2">
        <w:rPr>
          <w:i/>
          <w:szCs w:val="24"/>
        </w:rPr>
        <w:t xml:space="preserve"> with control group design. </w:t>
      </w:r>
      <w:r w:rsidRPr="00C74B83">
        <w:rPr>
          <w:i/>
          <w:szCs w:val="24"/>
          <w:lang w:val="nl-NL"/>
        </w:rPr>
        <w:t>Penelitian in</w:t>
      </w:r>
      <w:r w:rsidR="00B12890">
        <w:rPr>
          <w:i/>
          <w:szCs w:val="24"/>
          <w:lang w:val="nl-NL"/>
        </w:rPr>
        <w:t xml:space="preserve">i menggunakan 18 ekor tikus </w:t>
      </w:r>
      <w:r w:rsidRPr="00C74B83">
        <w:rPr>
          <w:i/>
          <w:szCs w:val="24"/>
          <w:lang w:val="nl-NL"/>
        </w:rPr>
        <w:t>berumur 2-3 bulan dengan berat 150</w:t>
      </w:r>
      <w:r w:rsidR="00445EF4">
        <w:rPr>
          <w:i/>
          <w:szCs w:val="24"/>
          <w:lang w:val="nl-NL"/>
        </w:rPr>
        <w:t xml:space="preserve">-250 gram yang dibagi menjadi 3 kelompok. Kelompok kontrol negatif </w:t>
      </w:r>
      <w:r w:rsidRPr="00C74B83">
        <w:rPr>
          <w:i/>
          <w:szCs w:val="24"/>
          <w:lang w:val="nl-NL"/>
        </w:rPr>
        <w:t xml:space="preserve">diberi pakan standar, kelompok kontrol positif </w:t>
      </w:r>
      <w:r w:rsidR="00445EF4">
        <w:rPr>
          <w:i/>
          <w:szCs w:val="24"/>
          <w:lang w:val="nl-NL"/>
        </w:rPr>
        <w:t xml:space="preserve">diberi pakan standar dan </w:t>
      </w:r>
      <w:r w:rsidRPr="00C74B83">
        <w:rPr>
          <w:i/>
          <w:szCs w:val="24"/>
          <w:lang w:val="nl-NL"/>
        </w:rPr>
        <w:t>diinduksi kaf</w:t>
      </w:r>
      <w:r w:rsidR="00445EF4">
        <w:rPr>
          <w:i/>
          <w:szCs w:val="24"/>
          <w:lang w:val="nl-NL"/>
        </w:rPr>
        <w:t>ein 27 mg/200 gBB</w:t>
      </w:r>
      <w:r w:rsidRPr="00C74B83">
        <w:rPr>
          <w:i/>
          <w:szCs w:val="24"/>
          <w:lang w:val="nl-NL"/>
        </w:rPr>
        <w:t xml:space="preserve">, dan kelompok perlakuan </w:t>
      </w:r>
      <w:r w:rsidR="00445EF4">
        <w:rPr>
          <w:i/>
          <w:szCs w:val="24"/>
          <w:lang w:val="nl-NL"/>
        </w:rPr>
        <w:t xml:space="preserve">diberi pakan standar, diinduksi kafein, serta </w:t>
      </w:r>
      <w:r w:rsidRPr="00C74B83">
        <w:rPr>
          <w:i/>
          <w:szCs w:val="24"/>
          <w:lang w:val="nl-NL"/>
        </w:rPr>
        <w:t>diintervensi minuman sinom seban</w:t>
      </w:r>
      <w:r w:rsidR="00D50DA7">
        <w:rPr>
          <w:i/>
          <w:szCs w:val="24"/>
          <w:lang w:val="nl-NL"/>
        </w:rPr>
        <w:t xml:space="preserve">yak 6 ml/200 gBB selama 14 hari. </w:t>
      </w:r>
      <w:r w:rsidR="00D50DA7" w:rsidRPr="0042741B">
        <w:rPr>
          <w:i/>
          <w:szCs w:val="24"/>
        </w:rPr>
        <w:t xml:space="preserve">Hasil </w:t>
      </w:r>
      <w:proofErr w:type="spellStart"/>
      <w:r w:rsidR="00D50DA7" w:rsidRPr="0042741B">
        <w:rPr>
          <w:i/>
          <w:szCs w:val="24"/>
        </w:rPr>
        <w:t>analisa</w:t>
      </w:r>
      <w:proofErr w:type="spellEnd"/>
      <w:r w:rsidR="00D50DA7" w:rsidRPr="0042741B">
        <w:rPr>
          <w:i/>
          <w:szCs w:val="24"/>
        </w:rPr>
        <w:t xml:space="preserve"> uji </w:t>
      </w:r>
      <w:r w:rsidR="004A04D0">
        <w:rPr>
          <w:i/>
          <w:szCs w:val="24"/>
        </w:rPr>
        <w:t>p</w:t>
      </w:r>
      <w:r w:rsidR="00D50DA7" w:rsidRPr="0042741B">
        <w:rPr>
          <w:i/>
          <w:szCs w:val="24"/>
        </w:rPr>
        <w:t xml:space="preserve">aired </w:t>
      </w:r>
      <w:r w:rsidR="004A04D0">
        <w:rPr>
          <w:i/>
          <w:szCs w:val="24"/>
        </w:rPr>
        <w:t>t</w:t>
      </w:r>
      <w:r w:rsidR="00031F09">
        <w:rPr>
          <w:i/>
          <w:szCs w:val="24"/>
        </w:rPr>
        <w:t>-</w:t>
      </w:r>
      <w:r w:rsidR="00D50DA7" w:rsidRPr="0042741B">
        <w:rPr>
          <w:i/>
          <w:szCs w:val="24"/>
        </w:rPr>
        <w:t xml:space="preserve">test pada </w:t>
      </w:r>
      <w:proofErr w:type="spellStart"/>
      <w:r w:rsidR="00D50DA7" w:rsidRPr="0042741B">
        <w:rPr>
          <w:i/>
          <w:szCs w:val="24"/>
        </w:rPr>
        <w:t>kelompok</w:t>
      </w:r>
      <w:proofErr w:type="spellEnd"/>
      <w:r w:rsidR="00D50DA7" w:rsidRPr="0042741B">
        <w:rPr>
          <w:i/>
          <w:szCs w:val="24"/>
        </w:rPr>
        <w:t xml:space="preserve"> </w:t>
      </w:r>
      <w:proofErr w:type="spellStart"/>
      <w:r w:rsidR="00D50DA7" w:rsidRPr="0042741B">
        <w:rPr>
          <w:i/>
          <w:szCs w:val="24"/>
        </w:rPr>
        <w:t>perlakuan</w:t>
      </w:r>
      <w:proofErr w:type="spellEnd"/>
      <w:r w:rsidR="00D50DA7" w:rsidRPr="0042741B">
        <w:rPr>
          <w:i/>
          <w:szCs w:val="24"/>
        </w:rPr>
        <w:t xml:space="preserve"> </w:t>
      </w:r>
      <w:proofErr w:type="spellStart"/>
      <w:r w:rsidR="00D50DA7" w:rsidRPr="0042741B">
        <w:rPr>
          <w:i/>
          <w:szCs w:val="24"/>
        </w:rPr>
        <w:t>didapatkan</w:t>
      </w:r>
      <w:proofErr w:type="spellEnd"/>
      <w:r w:rsidR="00D50DA7" w:rsidRPr="0042741B">
        <w:rPr>
          <w:i/>
          <w:szCs w:val="24"/>
        </w:rPr>
        <w:t xml:space="preserve"> p value</w:t>
      </w:r>
      <w:r w:rsidR="00986144" w:rsidRPr="0042741B">
        <w:rPr>
          <w:i/>
          <w:szCs w:val="24"/>
        </w:rPr>
        <w:t xml:space="preserve"> </w:t>
      </w:r>
      <w:r w:rsidR="00D50DA7" w:rsidRPr="0042741B">
        <w:rPr>
          <w:i/>
          <w:szCs w:val="24"/>
        </w:rPr>
        <w:t>=</w:t>
      </w:r>
      <w:r w:rsidR="00986144" w:rsidRPr="0042741B">
        <w:rPr>
          <w:i/>
          <w:szCs w:val="24"/>
        </w:rPr>
        <w:t xml:space="preserve"> </w:t>
      </w:r>
      <w:r w:rsidR="00D50DA7" w:rsidRPr="0042741B">
        <w:rPr>
          <w:i/>
          <w:szCs w:val="24"/>
        </w:rPr>
        <w:t xml:space="preserve">0,000 &lt; 0,05. </w:t>
      </w:r>
      <w:proofErr w:type="spellStart"/>
      <w:r w:rsidR="00031F09">
        <w:rPr>
          <w:i/>
          <w:szCs w:val="24"/>
        </w:rPr>
        <w:t>S</w:t>
      </w:r>
      <w:r w:rsidR="00D50DA7" w:rsidRPr="0042741B">
        <w:rPr>
          <w:i/>
          <w:szCs w:val="24"/>
        </w:rPr>
        <w:t>impulan</w:t>
      </w:r>
      <w:proofErr w:type="spellEnd"/>
      <w:r w:rsidR="00D50DA7" w:rsidRPr="0042741B">
        <w:rPr>
          <w:i/>
          <w:szCs w:val="24"/>
        </w:rPr>
        <w:t xml:space="preserve"> </w:t>
      </w:r>
      <w:proofErr w:type="spellStart"/>
      <w:r w:rsidR="00D50DA7" w:rsidRPr="0042741B">
        <w:rPr>
          <w:i/>
          <w:szCs w:val="24"/>
        </w:rPr>
        <w:t>dari</w:t>
      </w:r>
      <w:proofErr w:type="spellEnd"/>
      <w:r w:rsidR="00D50DA7" w:rsidRPr="0042741B">
        <w:rPr>
          <w:i/>
          <w:szCs w:val="24"/>
        </w:rPr>
        <w:t xml:space="preserve"> </w:t>
      </w:r>
      <w:proofErr w:type="spellStart"/>
      <w:r w:rsidR="00D50DA7" w:rsidRPr="0042741B">
        <w:rPr>
          <w:i/>
          <w:szCs w:val="24"/>
        </w:rPr>
        <w:t>penelitian</w:t>
      </w:r>
      <w:proofErr w:type="spellEnd"/>
      <w:r w:rsidR="00D50DA7" w:rsidRPr="0042741B">
        <w:rPr>
          <w:i/>
          <w:szCs w:val="24"/>
        </w:rPr>
        <w:t xml:space="preserve"> </w:t>
      </w:r>
      <w:proofErr w:type="spellStart"/>
      <w:r w:rsidR="00D50DA7" w:rsidRPr="0042741B">
        <w:rPr>
          <w:i/>
          <w:szCs w:val="24"/>
        </w:rPr>
        <w:t>ini</w:t>
      </w:r>
      <w:proofErr w:type="spellEnd"/>
      <w:r w:rsidR="00D50DA7" w:rsidRPr="0042741B">
        <w:rPr>
          <w:i/>
          <w:szCs w:val="24"/>
        </w:rPr>
        <w:t xml:space="preserve"> </w:t>
      </w:r>
      <w:proofErr w:type="spellStart"/>
      <w:r w:rsidR="00D50DA7" w:rsidRPr="0042741B">
        <w:rPr>
          <w:i/>
          <w:szCs w:val="24"/>
        </w:rPr>
        <w:t>adalah</w:t>
      </w:r>
      <w:proofErr w:type="spellEnd"/>
      <w:r w:rsidR="00D50DA7" w:rsidRPr="0042741B">
        <w:rPr>
          <w:i/>
          <w:szCs w:val="24"/>
        </w:rPr>
        <w:t xml:space="preserve"> </w:t>
      </w:r>
      <w:proofErr w:type="spellStart"/>
      <w:r w:rsidR="00D50DA7" w:rsidRPr="0042741B">
        <w:rPr>
          <w:i/>
          <w:szCs w:val="24"/>
        </w:rPr>
        <w:t>minuman</w:t>
      </w:r>
      <w:proofErr w:type="spellEnd"/>
      <w:r w:rsidR="00D50DA7" w:rsidRPr="0042741B">
        <w:rPr>
          <w:i/>
          <w:szCs w:val="24"/>
        </w:rPr>
        <w:t xml:space="preserve"> </w:t>
      </w:r>
      <w:proofErr w:type="spellStart"/>
      <w:r w:rsidR="00D50DA7" w:rsidRPr="0042741B">
        <w:rPr>
          <w:i/>
          <w:szCs w:val="24"/>
        </w:rPr>
        <w:t>sinom</w:t>
      </w:r>
      <w:proofErr w:type="spellEnd"/>
      <w:r w:rsidR="00D50DA7" w:rsidRPr="0042741B">
        <w:rPr>
          <w:i/>
          <w:szCs w:val="24"/>
        </w:rPr>
        <w:t xml:space="preserve"> </w:t>
      </w:r>
      <w:proofErr w:type="spellStart"/>
      <w:r w:rsidR="00D50DA7" w:rsidRPr="0042741B">
        <w:rPr>
          <w:i/>
          <w:szCs w:val="24"/>
        </w:rPr>
        <w:t>berpotensi</w:t>
      </w:r>
      <w:proofErr w:type="spellEnd"/>
      <w:r w:rsidR="00D50DA7" w:rsidRPr="0042741B">
        <w:rPr>
          <w:i/>
          <w:szCs w:val="24"/>
        </w:rPr>
        <w:t xml:space="preserve"> </w:t>
      </w:r>
      <w:proofErr w:type="spellStart"/>
      <w:r w:rsidR="00D50DA7" w:rsidRPr="0042741B">
        <w:rPr>
          <w:i/>
          <w:szCs w:val="24"/>
        </w:rPr>
        <w:t>ter</w:t>
      </w:r>
      <w:r w:rsidR="00986144" w:rsidRPr="0042741B">
        <w:rPr>
          <w:i/>
          <w:szCs w:val="24"/>
        </w:rPr>
        <w:t>hadap</w:t>
      </w:r>
      <w:proofErr w:type="spellEnd"/>
      <w:r w:rsidR="00986144" w:rsidRPr="0042741B">
        <w:rPr>
          <w:i/>
          <w:szCs w:val="24"/>
        </w:rPr>
        <w:t xml:space="preserve"> </w:t>
      </w:r>
      <w:proofErr w:type="spellStart"/>
      <w:r w:rsidR="00986144" w:rsidRPr="0042741B">
        <w:rPr>
          <w:i/>
          <w:szCs w:val="24"/>
        </w:rPr>
        <w:t>penurunan</w:t>
      </w:r>
      <w:proofErr w:type="spellEnd"/>
      <w:r w:rsidR="00986144" w:rsidRPr="0042741B">
        <w:rPr>
          <w:i/>
          <w:szCs w:val="24"/>
        </w:rPr>
        <w:t xml:space="preserve"> </w:t>
      </w:r>
      <w:proofErr w:type="spellStart"/>
      <w:r w:rsidR="00986144" w:rsidRPr="0042741B">
        <w:rPr>
          <w:i/>
          <w:szCs w:val="24"/>
        </w:rPr>
        <w:t>kadar</w:t>
      </w:r>
      <w:proofErr w:type="spellEnd"/>
      <w:r w:rsidR="00986144" w:rsidRPr="0042741B">
        <w:rPr>
          <w:i/>
          <w:szCs w:val="24"/>
        </w:rPr>
        <w:t xml:space="preserve"> </w:t>
      </w:r>
      <w:proofErr w:type="spellStart"/>
      <w:r w:rsidR="00986144" w:rsidRPr="0042741B">
        <w:rPr>
          <w:i/>
          <w:szCs w:val="24"/>
        </w:rPr>
        <w:t>asam</w:t>
      </w:r>
      <w:proofErr w:type="spellEnd"/>
      <w:r w:rsidR="00986144" w:rsidRPr="0042741B">
        <w:rPr>
          <w:i/>
          <w:szCs w:val="24"/>
        </w:rPr>
        <w:t xml:space="preserve"> </w:t>
      </w:r>
      <w:proofErr w:type="spellStart"/>
      <w:r w:rsidR="00986144" w:rsidRPr="0042741B">
        <w:rPr>
          <w:i/>
          <w:szCs w:val="24"/>
        </w:rPr>
        <w:t>urat</w:t>
      </w:r>
      <w:proofErr w:type="spellEnd"/>
      <w:r w:rsidR="00986144" w:rsidRPr="0042741B">
        <w:rPr>
          <w:i/>
          <w:szCs w:val="24"/>
        </w:rPr>
        <w:t xml:space="preserve"> </w:t>
      </w:r>
      <w:proofErr w:type="spellStart"/>
      <w:r w:rsidR="00986144" w:rsidRPr="0042741B">
        <w:rPr>
          <w:i/>
          <w:szCs w:val="24"/>
        </w:rPr>
        <w:t>tikus</w:t>
      </w:r>
      <w:proofErr w:type="spellEnd"/>
      <w:r w:rsidR="00A378D5" w:rsidRPr="0042741B">
        <w:rPr>
          <w:lang w:bidi="en-US"/>
        </w:rPr>
        <w:t xml:space="preserve"> </w:t>
      </w:r>
      <w:proofErr w:type="spellStart"/>
      <w:r w:rsidR="00A378D5" w:rsidRPr="0042741B">
        <w:rPr>
          <w:i/>
          <w:lang w:bidi="en-US"/>
        </w:rPr>
        <w:t>secara</w:t>
      </w:r>
      <w:proofErr w:type="spellEnd"/>
      <w:r w:rsidR="00A378D5" w:rsidRPr="0042741B">
        <w:rPr>
          <w:i/>
          <w:lang w:bidi="en-US"/>
        </w:rPr>
        <w:t xml:space="preserve"> </w:t>
      </w:r>
      <w:proofErr w:type="spellStart"/>
      <w:r w:rsidR="00A378D5" w:rsidRPr="0042741B">
        <w:rPr>
          <w:i/>
          <w:lang w:bidi="en-US"/>
        </w:rPr>
        <w:t>signifikan</w:t>
      </w:r>
      <w:proofErr w:type="spellEnd"/>
      <w:r w:rsidR="00A378D5" w:rsidRPr="0042741B">
        <w:rPr>
          <w:i/>
          <w:lang w:bidi="en-US"/>
        </w:rPr>
        <w:t xml:space="preserve"> (p = 0,000).</w:t>
      </w:r>
    </w:p>
    <w:p w14:paraId="7D52626B" w14:textId="77777777" w:rsidR="007D13A2" w:rsidRPr="0042741B" w:rsidRDefault="007D13A2" w:rsidP="007D13A2">
      <w:pPr>
        <w:rPr>
          <w:i/>
          <w:szCs w:val="24"/>
        </w:rPr>
      </w:pPr>
    </w:p>
    <w:p w14:paraId="5C969ECD" w14:textId="77777777" w:rsidR="007D13A2" w:rsidRDefault="007D13A2" w:rsidP="008C675A">
      <w:pPr>
        <w:tabs>
          <w:tab w:val="left" w:pos="3632"/>
        </w:tabs>
        <w:spacing w:after="120" w:line="276" w:lineRule="auto"/>
        <w:rPr>
          <w:b/>
          <w:i/>
          <w:szCs w:val="20"/>
          <w:lang w:val="id-ID"/>
        </w:rPr>
      </w:pPr>
      <w:r>
        <w:rPr>
          <w:b/>
          <w:i/>
          <w:szCs w:val="24"/>
        </w:rPr>
        <w:t xml:space="preserve">Kata </w:t>
      </w:r>
      <w:r>
        <w:rPr>
          <w:b/>
          <w:i/>
          <w:szCs w:val="24"/>
          <w:lang w:val="id-ID"/>
        </w:rPr>
        <w:t>k</w:t>
      </w:r>
      <w:r w:rsidRPr="007D13A2">
        <w:rPr>
          <w:b/>
          <w:i/>
          <w:szCs w:val="24"/>
        </w:rPr>
        <w:t>unci</w:t>
      </w:r>
      <w:r w:rsidR="00B654B7">
        <w:rPr>
          <w:i/>
          <w:szCs w:val="24"/>
        </w:rPr>
        <w:t xml:space="preserve">: </w:t>
      </w:r>
      <w:r w:rsidR="00B654B7">
        <w:rPr>
          <w:i/>
          <w:szCs w:val="24"/>
          <w:lang w:val="id-ID"/>
        </w:rPr>
        <w:t>A</w:t>
      </w:r>
      <w:proofErr w:type="spellStart"/>
      <w:r>
        <w:rPr>
          <w:i/>
          <w:szCs w:val="24"/>
        </w:rPr>
        <w:t>sam</w:t>
      </w:r>
      <w:proofErr w:type="spellEnd"/>
      <w:r>
        <w:rPr>
          <w:i/>
          <w:szCs w:val="24"/>
        </w:rPr>
        <w:t xml:space="preserve"> </w:t>
      </w:r>
      <w:proofErr w:type="spellStart"/>
      <w:r>
        <w:rPr>
          <w:i/>
          <w:szCs w:val="24"/>
        </w:rPr>
        <w:t>urat</w:t>
      </w:r>
      <w:proofErr w:type="spellEnd"/>
      <w:r w:rsidR="00B654B7">
        <w:rPr>
          <w:i/>
          <w:szCs w:val="24"/>
          <w:lang w:val="id-ID"/>
        </w:rPr>
        <w:t xml:space="preserve">, hiperurisemia, </w:t>
      </w:r>
      <w:proofErr w:type="spellStart"/>
      <w:r w:rsidRPr="007D13A2">
        <w:rPr>
          <w:i/>
          <w:szCs w:val="24"/>
        </w:rPr>
        <w:t>minuman</w:t>
      </w:r>
      <w:proofErr w:type="spellEnd"/>
      <w:r w:rsidRPr="007D13A2">
        <w:rPr>
          <w:i/>
          <w:szCs w:val="24"/>
        </w:rPr>
        <w:t xml:space="preserve"> </w:t>
      </w:r>
      <w:proofErr w:type="spellStart"/>
      <w:r w:rsidRPr="007D13A2">
        <w:rPr>
          <w:i/>
          <w:szCs w:val="24"/>
        </w:rPr>
        <w:t>sinom</w:t>
      </w:r>
      <w:proofErr w:type="spellEnd"/>
      <w:r w:rsidR="00B654B7">
        <w:rPr>
          <w:i/>
          <w:szCs w:val="24"/>
          <w:lang w:val="id-ID"/>
        </w:rPr>
        <w:t xml:space="preserve"> </w:t>
      </w:r>
    </w:p>
    <w:p w14:paraId="19570919" w14:textId="77777777" w:rsidR="007D13A2" w:rsidRDefault="007D13A2" w:rsidP="007D13A2">
      <w:pPr>
        <w:tabs>
          <w:tab w:val="left" w:pos="3632"/>
        </w:tabs>
        <w:spacing w:line="276" w:lineRule="auto"/>
        <w:jc w:val="center"/>
        <w:rPr>
          <w:b/>
          <w:i/>
          <w:szCs w:val="20"/>
          <w:lang w:val="id-ID"/>
        </w:rPr>
      </w:pPr>
    </w:p>
    <w:p w14:paraId="3B04C9C4" w14:textId="77777777" w:rsidR="00F64B56" w:rsidRPr="00163A20" w:rsidRDefault="001C30D5" w:rsidP="007D13A2">
      <w:pPr>
        <w:tabs>
          <w:tab w:val="left" w:pos="3632"/>
        </w:tabs>
        <w:spacing w:line="276" w:lineRule="auto"/>
        <w:jc w:val="center"/>
        <w:rPr>
          <w:b/>
          <w:i/>
          <w:szCs w:val="20"/>
          <w:lang w:val="id-ID"/>
        </w:rPr>
      </w:pPr>
      <w:r w:rsidRPr="00163A20">
        <w:rPr>
          <w:b/>
          <w:i/>
          <w:szCs w:val="20"/>
          <w:lang w:val="id-ID"/>
        </w:rPr>
        <w:t>ABSTRACT</w:t>
      </w:r>
    </w:p>
    <w:p w14:paraId="41BD3B32" w14:textId="6B177E83" w:rsidR="00003C8E" w:rsidRPr="00003C8E" w:rsidRDefault="00003C8E" w:rsidP="0049742B">
      <w:pPr>
        <w:spacing w:line="276" w:lineRule="auto"/>
        <w:rPr>
          <w:i/>
        </w:rPr>
      </w:pPr>
      <w:r w:rsidRPr="00003C8E">
        <w:rPr>
          <w:i/>
        </w:rPr>
        <w:t xml:space="preserve">Hyperuricemia is an increase of uric acid level. It is caused by decreased excretion of uric acid, overproduction of uric acid, or both of them. </w:t>
      </w:r>
      <w:proofErr w:type="spellStart"/>
      <w:r w:rsidRPr="00003C8E">
        <w:rPr>
          <w:i/>
        </w:rPr>
        <w:t>Sinom</w:t>
      </w:r>
      <w:proofErr w:type="spellEnd"/>
      <w:r w:rsidRPr="00003C8E">
        <w:rPr>
          <w:i/>
        </w:rPr>
        <w:t xml:space="preserve"> drink that consists of 26,307 mg/100 ml vitamin C that can </w:t>
      </w:r>
      <w:proofErr w:type="spellStart"/>
      <w:r w:rsidRPr="00003C8E">
        <w:rPr>
          <w:i/>
        </w:rPr>
        <w:t>potencially</w:t>
      </w:r>
      <w:proofErr w:type="spellEnd"/>
      <w:r w:rsidRPr="00003C8E">
        <w:rPr>
          <w:i/>
        </w:rPr>
        <w:t xml:space="preserve"> to reduce of uric acid levels. The purpose of this study was to analyze the </w:t>
      </w:r>
      <w:proofErr w:type="spellStart"/>
      <w:r w:rsidRPr="00003C8E">
        <w:rPr>
          <w:i/>
        </w:rPr>
        <w:t>potencial</w:t>
      </w:r>
      <w:proofErr w:type="spellEnd"/>
      <w:r w:rsidRPr="00003C8E">
        <w:rPr>
          <w:i/>
        </w:rPr>
        <w:t xml:space="preserve"> of </w:t>
      </w:r>
      <w:proofErr w:type="spellStart"/>
      <w:r w:rsidRPr="00003C8E">
        <w:rPr>
          <w:i/>
        </w:rPr>
        <w:t>Sinom</w:t>
      </w:r>
      <w:proofErr w:type="spellEnd"/>
      <w:r w:rsidRPr="00003C8E">
        <w:rPr>
          <w:i/>
        </w:rPr>
        <w:t xml:space="preserve"> to uric acid levels in </w:t>
      </w:r>
      <w:proofErr w:type="spellStart"/>
      <w:r w:rsidRPr="00003C8E">
        <w:rPr>
          <w:i/>
        </w:rPr>
        <w:t>hyperuricemic</w:t>
      </w:r>
      <w:proofErr w:type="spellEnd"/>
      <w:r w:rsidRPr="00003C8E">
        <w:rPr>
          <w:i/>
        </w:rPr>
        <w:t xml:space="preserve"> white </w:t>
      </w:r>
      <w:proofErr w:type="spellStart"/>
      <w:r w:rsidRPr="00003C8E">
        <w:rPr>
          <w:i/>
        </w:rPr>
        <w:t>wistar</w:t>
      </w:r>
      <w:proofErr w:type="spellEnd"/>
      <w:r w:rsidRPr="00003C8E">
        <w:rPr>
          <w:i/>
        </w:rPr>
        <w:t xml:space="preserve"> male rats (Rattus norvegicus). This type of research is true experimental with pre-</w:t>
      </w:r>
      <w:proofErr w:type="spellStart"/>
      <w:r w:rsidRPr="00003C8E">
        <w:rPr>
          <w:i/>
        </w:rPr>
        <w:t>post test</w:t>
      </w:r>
      <w:proofErr w:type="spellEnd"/>
      <w:r w:rsidRPr="00003C8E">
        <w:rPr>
          <w:i/>
        </w:rPr>
        <w:t xml:space="preserve"> with control group design. This study used 18 rats aged 2-3 months and weighing 150-250 grams. The rats were divided into 3 groups. The negative control group was given standard feed, positive control group was given standard feed and caffeine induction, and treatment group was given standard feed, caffeine induction, and intervened with </w:t>
      </w:r>
      <w:proofErr w:type="spellStart"/>
      <w:r w:rsidRPr="00003C8E">
        <w:rPr>
          <w:i/>
        </w:rPr>
        <w:t>sinom</w:t>
      </w:r>
      <w:proofErr w:type="spellEnd"/>
      <w:r w:rsidRPr="00003C8E">
        <w:rPr>
          <w:i/>
        </w:rPr>
        <w:t xml:space="preserve">. The result of </w:t>
      </w:r>
      <w:r w:rsidR="004A04D0">
        <w:rPr>
          <w:i/>
        </w:rPr>
        <w:t>p</w:t>
      </w:r>
      <w:r w:rsidR="004A04D0" w:rsidRPr="00003C8E">
        <w:rPr>
          <w:i/>
        </w:rPr>
        <w:t xml:space="preserve">aired t-test </w:t>
      </w:r>
      <w:r w:rsidRPr="00003C8E">
        <w:rPr>
          <w:i/>
        </w:rPr>
        <w:t xml:space="preserve">is p value = 0,000 &lt; 0,005 in treatment group. The conclusion of this study is </w:t>
      </w:r>
      <w:proofErr w:type="spellStart"/>
      <w:r w:rsidRPr="00003C8E">
        <w:rPr>
          <w:i/>
        </w:rPr>
        <w:t>sinom</w:t>
      </w:r>
      <w:proofErr w:type="spellEnd"/>
      <w:r w:rsidRPr="00003C8E">
        <w:rPr>
          <w:i/>
        </w:rPr>
        <w:t xml:space="preserve"> can decreased urid acid level in rats (p = 0,000).</w:t>
      </w:r>
    </w:p>
    <w:p w14:paraId="1394C296" w14:textId="77777777" w:rsidR="00F64B56" w:rsidRPr="00CB3F2A" w:rsidRDefault="00F64B56" w:rsidP="0049742B">
      <w:pPr>
        <w:pStyle w:val="NormalWeb"/>
        <w:spacing w:before="0" w:beforeAutospacing="0" w:after="0" w:afterAutospacing="0" w:line="276" w:lineRule="auto"/>
        <w:jc w:val="both"/>
        <w:rPr>
          <w:i/>
          <w:sz w:val="22"/>
          <w:szCs w:val="20"/>
        </w:rPr>
      </w:pPr>
      <w:r w:rsidRPr="00CB3F2A">
        <w:rPr>
          <w:i/>
          <w:color w:val="000000"/>
          <w:sz w:val="22"/>
          <w:szCs w:val="20"/>
        </w:rPr>
        <w:t> </w:t>
      </w:r>
    </w:p>
    <w:p w14:paraId="4CF9AAAA" w14:textId="77777777" w:rsidR="00AB0D0F" w:rsidRPr="00D2489A" w:rsidRDefault="00F64B56" w:rsidP="00D2489A">
      <w:pPr>
        <w:pStyle w:val="NormalWeb"/>
        <w:spacing w:before="0" w:beforeAutospacing="0" w:after="0" w:afterAutospacing="0" w:line="276" w:lineRule="auto"/>
        <w:jc w:val="both"/>
        <w:rPr>
          <w:i/>
          <w:sz w:val="22"/>
          <w:szCs w:val="20"/>
          <w:lang w:val="en-GB"/>
        </w:rPr>
      </w:pPr>
      <w:r w:rsidRPr="00CB3F2A">
        <w:rPr>
          <w:b/>
          <w:i/>
          <w:sz w:val="22"/>
          <w:szCs w:val="20"/>
        </w:rPr>
        <w:t>Keywords</w:t>
      </w:r>
      <w:r w:rsidR="001C30D5" w:rsidRPr="00CB3F2A">
        <w:rPr>
          <w:i/>
          <w:color w:val="000000"/>
          <w:sz w:val="22"/>
          <w:szCs w:val="20"/>
        </w:rPr>
        <w:t xml:space="preserve">: </w:t>
      </w:r>
      <w:r w:rsidR="00D2489A">
        <w:rPr>
          <w:i/>
          <w:color w:val="000000"/>
          <w:sz w:val="22"/>
          <w:szCs w:val="20"/>
        </w:rPr>
        <w:t>Hyperuricemia, sinom</w:t>
      </w:r>
      <w:r w:rsidR="0048388F" w:rsidRPr="00CB3F2A">
        <w:rPr>
          <w:i/>
          <w:color w:val="000000"/>
          <w:sz w:val="22"/>
          <w:szCs w:val="20"/>
        </w:rPr>
        <w:t xml:space="preserve">, </w:t>
      </w:r>
      <w:r w:rsidR="00B654B7">
        <w:rPr>
          <w:i/>
          <w:color w:val="000000"/>
          <w:sz w:val="22"/>
          <w:szCs w:val="20"/>
        </w:rPr>
        <w:t>uric a</w:t>
      </w:r>
      <w:r w:rsidR="0048388F" w:rsidRPr="00CB3F2A">
        <w:rPr>
          <w:i/>
          <w:color w:val="000000"/>
          <w:sz w:val="22"/>
          <w:szCs w:val="20"/>
        </w:rPr>
        <w:t>cid</w:t>
      </w:r>
      <w:r w:rsidR="001C30D5" w:rsidRPr="00CB3F2A">
        <w:rPr>
          <w:i/>
          <w:color w:val="000000"/>
          <w:sz w:val="22"/>
          <w:szCs w:val="20"/>
        </w:rPr>
        <w:t xml:space="preserve"> </w:t>
      </w:r>
    </w:p>
    <w:p w14:paraId="2115221D" w14:textId="77777777" w:rsidR="00AB0D0F" w:rsidRDefault="00AB0D0F" w:rsidP="007D13A2">
      <w:pPr>
        <w:spacing w:line="276" w:lineRule="auto"/>
        <w:rPr>
          <w:b/>
          <w:lang w:val="en-GB"/>
        </w:rPr>
      </w:pPr>
    </w:p>
    <w:p w14:paraId="42CA6AA8" w14:textId="05499021" w:rsidR="0049742B" w:rsidRDefault="0049742B" w:rsidP="007D13A2">
      <w:pPr>
        <w:spacing w:line="276" w:lineRule="auto"/>
        <w:rPr>
          <w:b/>
          <w:lang w:val="en-GB"/>
        </w:rPr>
      </w:pPr>
    </w:p>
    <w:p w14:paraId="722AFE27" w14:textId="77777777" w:rsidR="002F5E7C" w:rsidRPr="0049742B" w:rsidRDefault="002F5E7C" w:rsidP="007D13A2">
      <w:pPr>
        <w:spacing w:line="276" w:lineRule="auto"/>
        <w:rPr>
          <w:b/>
          <w:lang w:val="en-GB"/>
        </w:rPr>
      </w:pPr>
    </w:p>
    <w:p w14:paraId="6A6A8ABE" w14:textId="77777777" w:rsidR="00AB0D0F" w:rsidRPr="001C30D5" w:rsidRDefault="00AB0D0F" w:rsidP="007D13A2">
      <w:pPr>
        <w:spacing w:line="276" w:lineRule="auto"/>
        <w:rPr>
          <w:b/>
          <w:lang w:val="id-ID"/>
        </w:rPr>
        <w:sectPr w:rsidR="00AB0D0F" w:rsidRPr="001C30D5" w:rsidSect="0048388F">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pPr>
    </w:p>
    <w:p w14:paraId="14598174" w14:textId="77777777" w:rsidR="001C30D5" w:rsidRPr="0048388F" w:rsidRDefault="001C30D5" w:rsidP="007D13A2">
      <w:pPr>
        <w:pStyle w:val="ListParagraph"/>
        <w:numPr>
          <w:ilvl w:val="0"/>
          <w:numId w:val="5"/>
        </w:numPr>
        <w:spacing w:after="0" w:line="276" w:lineRule="auto"/>
        <w:ind w:left="426" w:hanging="426"/>
        <w:rPr>
          <w:b/>
          <w:sz w:val="22"/>
        </w:rPr>
      </w:pPr>
      <w:r w:rsidRPr="0048388F">
        <w:rPr>
          <w:b/>
          <w:sz w:val="22"/>
        </w:rPr>
        <w:t>PENDAHULUAN</w:t>
      </w:r>
    </w:p>
    <w:p w14:paraId="48C7FE3B" w14:textId="2080831B" w:rsidR="008A09D8" w:rsidRPr="00C74B83" w:rsidRDefault="008A09D8" w:rsidP="007D13A2">
      <w:pPr>
        <w:spacing w:line="276" w:lineRule="auto"/>
        <w:ind w:firstLine="567"/>
        <w:rPr>
          <w:lang w:val="nl-NL"/>
        </w:rPr>
      </w:pPr>
      <w:r w:rsidRPr="00C74B83">
        <w:rPr>
          <w:lang w:val="id-ID"/>
        </w:rPr>
        <w:t>Hiperurisemia merupakan peningkatan kadar asam urat serum di dalam darah. Peningkatan kadar asam urat terjadi akibat menurunnya ekskresi asam urat melalui ginjal, produksi asam urat yang berlebih,</w:t>
      </w:r>
      <w:r w:rsidR="006F46C1">
        <w:rPr>
          <w:lang w:val="id-ID"/>
        </w:rPr>
        <w:t xml:space="preserve"> atau mungkin karena keduanya</w:t>
      </w:r>
      <w:r w:rsidR="00144E30">
        <w:rPr>
          <w:lang w:val="id-ID"/>
        </w:rPr>
        <w:t>.</w:t>
      </w:r>
      <w:r w:rsidR="00D112EB" w:rsidRPr="00E136DE">
        <w:rPr>
          <w:lang w:val="id-ID"/>
        </w:rPr>
        <w:fldChar w:fldCharType="begin" w:fldLock="1"/>
      </w:r>
      <w:r w:rsidR="00650E80">
        <w:rPr>
          <w:lang w:val="id-ID"/>
        </w:rPr>
        <w:instrText>ADDIN CSL_CITATION {"citationItems":[{"id":"ITEM-1","itemData":{"author":[{"dropping-particle":"","family":"Norr","given":"Z","non-dropping-particle":"","parse-names":false,"suffix":""}],"edition":"2","editor":[{"dropping-particle":"","family":"Lestari","given":"P. P.","non-dropping-particle":"","parse-names":false,"suffix":""}],"id":"ITEM-1","issued":{"date-parts":[["2016"]]},"publisher":"Salemba Medika","publisher-place":"Jakarta","title":"Buku Ajar Gangguan Muskuloskeletal","type":"book"},"uris":["http://www.mendeley.com/documents/?uuid=4938b82b-161f-4656-81dc-6466ed56eb64"]}],"mendeley":{"formattedCitation":"&lt;sup&gt;1&lt;/sup&gt;","plainTextFormattedCitation":"1","previouslyFormattedCitation":"&lt;sup&gt;1&lt;/sup&gt;"},"properties":{"noteIndex":0},"schema":"https://github.com/citation-style-language/schema/raw/master/csl-citation.json"}</w:instrText>
      </w:r>
      <w:r w:rsidR="00D112EB" w:rsidRPr="00E136DE">
        <w:rPr>
          <w:lang w:val="id-ID"/>
        </w:rPr>
        <w:fldChar w:fldCharType="separate"/>
      </w:r>
      <w:r w:rsidR="004E5F0B" w:rsidRPr="004E5F0B">
        <w:rPr>
          <w:noProof/>
          <w:vertAlign w:val="superscript"/>
          <w:lang w:val="id-ID"/>
        </w:rPr>
        <w:t>1</w:t>
      </w:r>
      <w:r w:rsidR="00D112EB" w:rsidRPr="00E136DE">
        <w:rPr>
          <w:lang w:val="id-ID"/>
        </w:rPr>
        <w:fldChar w:fldCharType="end"/>
      </w:r>
      <w:r w:rsidR="003A598B" w:rsidRPr="00C74B83">
        <w:rPr>
          <w:lang w:val="id-ID"/>
        </w:rPr>
        <w:t xml:space="preserve"> </w:t>
      </w:r>
      <w:r w:rsidR="003A598B" w:rsidRPr="00144E30">
        <w:rPr>
          <w:lang w:val="id-ID"/>
        </w:rPr>
        <w:t xml:space="preserve">Asam urat yang </w:t>
      </w:r>
      <w:r w:rsidRPr="00144E30">
        <w:rPr>
          <w:lang w:val="id-ID"/>
        </w:rPr>
        <w:t xml:space="preserve">menumpuk bertahun-tahun akan membentuk kristal berbentuk jarum yang terdapat pada jaringan lunak termasuk persendian. </w:t>
      </w:r>
      <w:proofErr w:type="spellStart"/>
      <w:r w:rsidRPr="008A09D8">
        <w:t>Penu</w:t>
      </w:r>
      <w:r w:rsidR="003A598B">
        <w:t>mpukan</w:t>
      </w:r>
      <w:proofErr w:type="spellEnd"/>
      <w:r w:rsidR="003A598B">
        <w:t xml:space="preserve"> </w:t>
      </w:r>
      <w:proofErr w:type="spellStart"/>
      <w:r w:rsidR="003A598B">
        <w:t>asam</w:t>
      </w:r>
      <w:proofErr w:type="spellEnd"/>
      <w:r w:rsidR="003A598B">
        <w:t xml:space="preserve"> </w:t>
      </w:r>
      <w:proofErr w:type="spellStart"/>
      <w:r w:rsidR="003A598B">
        <w:t>urat</w:t>
      </w:r>
      <w:proofErr w:type="spellEnd"/>
      <w:r w:rsidR="003A598B">
        <w:t xml:space="preserve"> </w:t>
      </w:r>
      <w:proofErr w:type="spellStart"/>
      <w:r w:rsidR="003A598B">
        <w:t>tersebut</w:t>
      </w:r>
      <w:proofErr w:type="spellEnd"/>
      <w:r w:rsidR="003A598B">
        <w:t xml:space="preserve"> </w:t>
      </w:r>
      <w:proofErr w:type="spellStart"/>
      <w:r w:rsidRPr="008A09D8">
        <w:t>menyebabkan</w:t>
      </w:r>
      <w:proofErr w:type="spellEnd"/>
      <w:r w:rsidRPr="008A09D8">
        <w:t xml:space="preserve"> </w:t>
      </w:r>
      <w:proofErr w:type="spellStart"/>
      <w:r w:rsidRPr="008A09D8">
        <w:t>penyakit</w:t>
      </w:r>
      <w:proofErr w:type="spellEnd"/>
      <w:r w:rsidRPr="008A09D8">
        <w:t xml:space="preserve"> </w:t>
      </w:r>
      <w:proofErr w:type="spellStart"/>
      <w:r w:rsidRPr="008A09D8">
        <w:t>asam</w:t>
      </w:r>
      <w:proofErr w:type="spellEnd"/>
      <w:r w:rsidRPr="008A09D8">
        <w:t xml:space="preserve"> </w:t>
      </w:r>
      <w:proofErr w:type="spellStart"/>
      <w:r w:rsidRPr="008A09D8">
        <w:t>urat</w:t>
      </w:r>
      <w:proofErr w:type="spellEnd"/>
      <w:r w:rsidRPr="008A09D8">
        <w:t xml:space="preserve"> yang </w:t>
      </w:r>
      <w:proofErr w:type="spellStart"/>
      <w:r w:rsidRPr="008A09D8">
        <w:t>disebut</w:t>
      </w:r>
      <w:proofErr w:type="spellEnd"/>
      <w:r w:rsidRPr="008A09D8">
        <w:t xml:space="preserve"> </w:t>
      </w:r>
      <w:proofErr w:type="spellStart"/>
      <w:r w:rsidRPr="008A09D8">
        <w:rPr>
          <w:i/>
        </w:rPr>
        <w:t>artritis</w:t>
      </w:r>
      <w:proofErr w:type="spellEnd"/>
      <w:r w:rsidRPr="008A09D8">
        <w:rPr>
          <w:i/>
        </w:rPr>
        <w:t xml:space="preserve"> gout</w:t>
      </w:r>
      <w:r w:rsidRPr="008A09D8">
        <w:t xml:space="preserve"> </w:t>
      </w:r>
      <w:proofErr w:type="spellStart"/>
      <w:r w:rsidRPr="008A09D8">
        <w:t>atau</w:t>
      </w:r>
      <w:proofErr w:type="spellEnd"/>
      <w:r w:rsidRPr="008A09D8">
        <w:t xml:space="preserve"> </w:t>
      </w:r>
      <w:proofErr w:type="spellStart"/>
      <w:r w:rsidRPr="008A09D8">
        <w:t>peradangan</w:t>
      </w:r>
      <w:proofErr w:type="spellEnd"/>
      <w:r w:rsidRPr="008A09D8">
        <w:t xml:space="preserve"> </w:t>
      </w:r>
      <w:proofErr w:type="spellStart"/>
      <w:r w:rsidRPr="008A09D8">
        <w:t>sendi</w:t>
      </w:r>
      <w:proofErr w:type="spellEnd"/>
      <w:r w:rsidRPr="008A09D8">
        <w:t xml:space="preserve">. </w:t>
      </w:r>
      <w:r w:rsidRPr="00C74B83">
        <w:rPr>
          <w:lang w:val="nl-NL"/>
        </w:rPr>
        <w:t xml:space="preserve">Penyakit </w:t>
      </w:r>
      <w:r w:rsidRPr="00C74B83">
        <w:rPr>
          <w:i/>
          <w:lang w:val="nl-NL"/>
        </w:rPr>
        <w:t>artritis gout</w:t>
      </w:r>
      <w:r w:rsidRPr="00C74B83">
        <w:rPr>
          <w:lang w:val="nl-NL"/>
        </w:rPr>
        <w:t xml:space="preserve"> dapat menimbulkan rasa nyeri, p</w:t>
      </w:r>
      <w:r w:rsidR="006C6EDE">
        <w:rPr>
          <w:lang w:val="nl-NL"/>
        </w:rPr>
        <w:t xml:space="preserve"> </w:t>
      </w:r>
      <w:r w:rsidRPr="00C74B83">
        <w:rPr>
          <w:lang w:val="nl-NL"/>
        </w:rPr>
        <w:t>anas, bengkak, dan kaku pada pe</w:t>
      </w:r>
      <w:r w:rsidR="00144E30">
        <w:rPr>
          <w:lang w:val="nl-NL"/>
        </w:rPr>
        <w:t>rsendian.</w:t>
      </w:r>
      <w:r w:rsidR="00116EC0" w:rsidRPr="00E136DE">
        <w:rPr>
          <w:lang w:val="nl-NL"/>
        </w:rPr>
        <w:fldChar w:fldCharType="begin" w:fldLock="1"/>
      </w:r>
      <w:r w:rsidR="00650E80">
        <w:rPr>
          <w:lang w:val="nl-NL"/>
        </w:rPr>
        <w:instrText>ADDIN CSL_CITATION {"citationItems":[{"id":"ITEM-1","itemData":{"author":[{"dropping-particle":"","family":"Tim Bumi Medika","given":"","non-dropping-particle":"","parse-names":false,"suffix":""}],"edition":"1","editor":[{"dropping-particle":"","family":"Sari","given":"Y. N. I.","non-dropping-particle":"","parse-names":false,"suffix":""},{"dropping-particle":"","family":"Syamsiyah","given":"N.","non-dropping-particle":"","parse-names":false,"suffix":""}],"id":"ITEM-1","issued":{"date-parts":[["2017"]]},"publisher":"Bumi Medika","publisher-place":"Jakarta","title":"Berdamai dengan Asam Urat","type":"book"},"uris":["http://www.mendeley.com/documents/?uuid=2594336a-7f18-485f-80e1-076703046f7d"]}],"mendeley":{"formattedCitation":"&lt;sup&gt;2&lt;/sup&gt;","plainTextFormattedCitation":"2","previouslyFormattedCitation":"&lt;sup&gt;2&lt;/sup&gt;"},"properties":{"noteIndex":0},"schema":"https://github.com/citation-style-language/schema/raw/master/csl-citation.json"}</w:instrText>
      </w:r>
      <w:r w:rsidR="00116EC0" w:rsidRPr="00E136DE">
        <w:rPr>
          <w:lang w:val="nl-NL"/>
        </w:rPr>
        <w:fldChar w:fldCharType="separate"/>
      </w:r>
      <w:r w:rsidR="004E5F0B" w:rsidRPr="004E5F0B">
        <w:rPr>
          <w:noProof/>
          <w:vertAlign w:val="superscript"/>
          <w:lang w:val="nl-NL"/>
        </w:rPr>
        <w:t>2</w:t>
      </w:r>
      <w:r w:rsidR="00116EC0" w:rsidRPr="00E136DE">
        <w:rPr>
          <w:lang w:val="nl-NL"/>
        </w:rPr>
        <w:fldChar w:fldCharType="end"/>
      </w:r>
    </w:p>
    <w:p w14:paraId="3B70F506" w14:textId="03CABCB6" w:rsidR="008A09D8" w:rsidRPr="00650E80" w:rsidRDefault="00986144" w:rsidP="007D13A2">
      <w:pPr>
        <w:spacing w:line="276" w:lineRule="auto"/>
        <w:ind w:firstLine="567"/>
        <w:rPr>
          <w:lang w:val="nl-NL"/>
        </w:rPr>
      </w:pPr>
      <w:r>
        <w:rPr>
          <w:lang w:val="nl-NL"/>
        </w:rPr>
        <w:t>H</w:t>
      </w:r>
      <w:r w:rsidR="008A09D8" w:rsidRPr="00C74B83">
        <w:rPr>
          <w:lang w:val="nl-NL"/>
        </w:rPr>
        <w:t>asil Ri</w:t>
      </w:r>
      <w:r w:rsidR="00DF4DEA">
        <w:rPr>
          <w:lang w:val="nl-NL"/>
        </w:rPr>
        <w:t xml:space="preserve">set Kesehatan Dasar (Riskesdas) </w:t>
      </w:r>
      <w:r w:rsidR="008A09D8" w:rsidRPr="00C74B83">
        <w:rPr>
          <w:lang w:val="nl-NL"/>
        </w:rPr>
        <w:t xml:space="preserve">menunjukkan bahwa prevalensi penyakit sendi berdasarkan diagnosis </w:t>
      </w:r>
      <w:r w:rsidR="0067224F">
        <w:rPr>
          <w:lang w:val="nl-NL"/>
        </w:rPr>
        <w:t>d</w:t>
      </w:r>
      <w:r w:rsidR="008A09D8" w:rsidRPr="00C74B83">
        <w:rPr>
          <w:lang w:val="nl-NL"/>
        </w:rPr>
        <w:t>okter pada penduduk umur ≥15 tahun di Indonesia sebesar 7,3%</w:t>
      </w:r>
      <w:r w:rsidR="00DF4DEA">
        <w:rPr>
          <w:lang w:val="nl-NL"/>
        </w:rPr>
        <w:t>.</w:t>
      </w:r>
      <w:r w:rsidR="004A23E7" w:rsidRPr="00E136DE">
        <w:rPr>
          <w:lang w:val="nl-NL"/>
        </w:rPr>
        <w:fldChar w:fldCharType="begin" w:fldLock="1"/>
      </w:r>
      <w:r w:rsidR="00650E80">
        <w:rPr>
          <w:lang w:val="nl-NL"/>
        </w:rPr>
        <w:instrText>ADDIN CSL_CITATION {"citationItems":[{"id":"ITEM-1","itemData":{"ISBN":"9788578110796","ISSN":"1098-6596","PMID":"25246403","URL":"https://kesmas.kemkes.go.id/assets/upload/dir_519d41d8cd98f00/files/Hasil-riskesdas-2018_1274.pdf","abstract":"Predicting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approach.","author":[{"dropping-particle":"","family":"Kemenkes RI","given":"","non-dropping-particle":"","parse-names":false,"suffix":""}],"container-title":"Kementrian Kesehatan RI","id":"ITEM-1","issue":"9","issued":{"date-parts":[["2019"]]},"page":"1689-1699","title":"Hasil Riset Kesehatan Dasar Tahun 2018","type":"webpage","volume":"53"},"uris":["http://www.mendeley.com/documents/?uuid=c4981056-0124-4c54-af93-06f4496d3012"]}],"mendeley":{"formattedCitation":"&lt;sup&gt;3&lt;/sup&gt;","plainTextFormattedCitation":"3","previouslyFormattedCitation":"&lt;sup&gt;3&lt;/sup&gt;"},"properties":{"noteIndex":0},"schema":"https://github.com/citation-style-language/schema/raw/master/csl-citation.json"}</w:instrText>
      </w:r>
      <w:r w:rsidR="004A23E7" w:rsidRPr="00E136DE">
        <w:rPr>
          <w:lang w:val="nl-NL"/>
        </w:rPr>
        <w:fldChar w:fldCharType="separate"/>
      </w:r>
      <w:r w:rsidR="004E5F0B" w:rsidRPr="00650E80">
        <w:rPr>
          <w:noProof/>
          <w:vertAlign w:val="superscript"/>
          <w:lang w:val="nl-NL"/>
        </w:rPr>
        <w:t>3</w:t>
      </w:r>
      <w:r w:rsidR="004A23E7" w:rsidRPr="00E136DE">
        <w:rPr>
          <w:lang w:val="nl-NL"/>
        </w:rPr>
        <w:fldChar w:fldCharType="end"/>
      </w:r>
      <w:r w:rsidR="00AB2705" w:rsidRPr="00650E80">
        <w:rPr>
          <w:lang w:val="nl-NL"/>
        </w:rPr>
        <w:t xml:space="preserve"> </w:t>
      </w:r>
      <w:r w:rsidR="00AB2705">
        <w:rPr>
          <w:lang w:val="id-ID"/>
        </w:rPr>
        <w:t>S</w:t>
      </w:r>
      <w:r w:rsidR="008A09D8" w:rsidRPr="00650E80">
        <w:rPr>
          <w:lang w:val="nl-NL"/>
        </w:rPr>
        <w:t>edangkan</w:t>
      </w:r>
      <w:r w:rsidR="00AB2705" w:rsidRPr="00650E80">
        <w:rPr>
          <w:lang w:val="nl-NL"/>
        </w:rPr>
        <w:t xml:space="preserve"> prevalensi penyakit </w:t>
      </w:r>
      <w:r w:rsidR="00AB2705" w:rsidRPr="00650E80">
        <w:rPr>
          <w:lang w:val="nl-NL"/>
        </w:rPr>
        <w:lastRenderedPageBreak/>
        <w:t>sendi</w:t>
      </w:r>
      <w:r w:rsidR="008A09D8" w:rsidRPr="00650E80">
        <w:rPr>
          <w:lang w:val="nl-NL"/>
        </w:rPr>
        <w:t xml:space="preserve"> di Jawa Timur sebesar 6,72%. Prevalensi penyakit sendi tertinggi berdasarkan diagnosis dokter pada penduduk umur ≥15 tahun menurut karakteristik kelompok umur terjadi pada masyarakat yang berusia ≥75 tah</w:t>
      </w:r>
      <w:r w:rsidR="000C4F6F" w:rsidRPr="00650E80">
        <w:rPr>
          <w:lang w:val="nl-NL"/>
        </w:rPr>
        <w:t>un (18,95%).</w:t>
      </w:r>
      <w:r w:rsidR="00C80427" w:rsidRPr="00E136DE">
        <w:rPr>
          <w:lang w:val="nl-NL"/>
        </w:rPr>
        <w:fldChar w:fldCharType="begin" w:fldLock="1"/>
      </w:r>
      <w:r w:rsidR="00650E80" w:rsidRPr="00650E80">
        <w:rPr>
          <w:lang w:val="nl-NL"/>
        </w:rPr>
        <w:instrText>ADDIN CSL_CITATION {"citationItems":[{"id":"ITEM-1","itemData":{"ISBN":"9788578110796","ISSN":"1098-6596","PMID":"25246403","URL":"https://kesmas.kemkes.go.id/assets/upload/dir_519d41d8cd98f00/files/Hasil-riskesdas-2018_1274.pdf","abstract":"Predicting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w:instrText>
      </w:r>
      <w:r w:rsidR="00650E80">
        <w:instrText>α</w:instrText>
      </w:r>
      <w:r w:rsidR="00650E80" w:rsidRPr="00650E80">
        <w:rPr>
          <w:lang w:val="nl-NL"/>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approach.","author":[{"dropping-particle":"","family":"Kemenkes RI","given":"","non-dropping-particle":"","parse-names":false,"suffix":""}],"container-title":"Kementrian Kesehatan RI","id":"ITEM-1","issue":"9","issued":{"date-parts":[["2019"]]},"page":"1689-1699","title":"Hasil Riset Kesehatan Dasar Tahun 2018","type":"webpage","volume":"53"},"uris":["http://www.mendeley.com/documents/?uuid=c4981056-0124-4c54-af93-06f4496d3012"]}],"mendeley":{"formattedCitation":"&lt;sup&gt;3&lt;/sup&gt;","plainTextFormattedCitation":"3","previouslyFormattedCitation":"&lt;sup&gt;3&lt;/sup&gt;"},"properties":{"noteIndex":0},"schema":"https://github.com/citation-style-language/schema/raw/master/csl-citation.json"}</w:instrText>
      </w:r>
      <w:r w:rsidR="00C80427" w:rsidRPr="00E136DE">
        <w:rPr>
          <w:lang w:val="nl-NL"/>
        </w:rPr>
        <w:fldChar w:fldCharType="separate"/>
      </w:r>
      <w:r w:rsidR="004E5F0B" w:rsidRPr="00650E80">
        <w:rPr>
          <w:noProof/>
          <w:vertAlign w:val="superscript"/>
          <w:lang w:val="nl-NL"/>
        </w:rPr>
        <w:t>3</w:t>
      </w:r>
      <w:r w:rsidR="00C80427" w:rsidRPr="00E136DE">
        <w:rPr>
          <w:lang w:val="nl-NL"/>
        </w:rPr>
        <w:fldChar w:fldCharType="end"/>
      </w:r>
    </w:p>
    <w:p w14:paraId="7774CDFA" w14:textId="77777777" w:rsidR="008A09D8" w:rsidRPr="008A09D8" w:rsidRDefault="008A09D8" w:rsidP="007D13A2">
      <w:pPr>
        <w:spacing w:line="276" w:lineRule="auto"/>
        <w:ind w:firstLine="567"/>
      </w:pPr>
      <w:r w:rsidRPr="00650E80">
        <w:rPr>
          <w:lang w:val="nl-NL"/>
        </w:rPr>
        <w:t xml:space="preserve">Penanganan yang dapat dilakukan pada penderita hiperurisemia yaitu dengan penggunaan obat seperti allopurinol. Allopurinol berfungsi untuk menghambat aktivitas enzim </w:t>
      </w:r>
      <w:r w:rsidRPr="00650E80">
        <w:rPr>
          <w:i/>
          <w:lang w:val="nl-NL"/>
        </w:rPr>
        <w:t>xantin oksidase</w:t>
      </w:r>
      <w:r w:rsidRPr="00650E80">
        <w:rPr>
          <w:lang w:val="nl-NL"/>
        </w:rPr>
        <w:t xml:space="preserve"> dengan tujuan mengurangi produks</w:t>
      </w:r>
      <w:r w:rsidR="000C4F6F" w:rsidRPr="00650E80">
        <w:rPr>
          <w:lang w:val="nl-NL"/>
        </w:rPr>
        <w:t>i asam urat.</w:t>
      </w:r>
      <w:r w:rsidR="00E10D93" w:rsidRPr="00037824">
        <w:fldChar w:fldCharType="begin" w:fldLock="1"/>
      </w:r>
      <w:r w:rsidR="00650E80" w:rsidRPr="00650E80">
        <w:rPr>
          <w:lang w:val="nl-NL"/>
        </w:rPr>
        <w:instrText>ADDIN CSL_CITATION {"citationItems":[{"id":"ITEM-1","itemData":{"author":[{"dropping-particle":"","family":"Yenrina","given":"R.","non-dropping-particle":"","parse-names":false,"suffix":""},{"dropping-particle":"","family":"Krisnatuti","given":"D.","non-dropping-particle":"","parse-names":false,"suffix":""},{"dropping-particle":"","family":"Rasjmida","given":"D","non-dropping-particle":"","parse-names":false,"suffix":""}],"edition":"1","id":"ITEM-1","issued":{"date-parts":[["2014"]]},"publisher":"Penebar Swadaya","publisher-place":"Jakarta","title":"Diet Sehat untuk Penderita Asam Urat","type":"book"},"uris":["http://www.mendeley.com/documents/?uuid=fcb170fd-dfd3-4a0f-b9e8-5c2cf0ecbf20"]}],"mendeley":{"formattedCitation":"&lt;sup&gt;4&lt;/sup&gt;","plainTextFormattedCitation":"4","previouslyFormattedCitation":"&lt;sup&gt;4&lt;/sup&gt;"},"properties":{"noteIndex":0},"schema":"https://github.com/citation-style-language/schema/raw/master/csl-citation.json"}</w:instrText>
      </w:r>
      <w:r w:rsidR="00E10D93" w:rsidRPr="00037824">
        <w:fldChar w:fldCharType="separate"/>
      </w:r>
      <w:r w:rsidR="004E5F0B" w:rsidRPr="00650E80">
        <w:rPr>
          <w:noProof/>
          <w:vertAlign w:val="superscript"/>
          <w:lang w:val="nl-NL"/>
        </w:rPr>
        <w:t>4</w:t>
      </w:r>
      <w:r w:rsidR="00E10D93" w:rsidRPr="00037824">
        <w:fldChar w:fldCharType="end"/>
      </w:r>
      <w:r w:rsidRPr="00650E80">
        <w:rPr>
          <w:lang w:val="nl-NL"/>
        </w:rPr>
        <w:t xml:space="preserve"> Namun beberapa peneliti melakukan penelitian terkait penghambatan aktivitas enzim </w:t>
      </w:r>
      <w:r w:rsidRPr="00650E80">
        <w:rPr>
          <w:i/>
          <w:lang w:val="nl-NL"/>
        </w:rPr>
        <w:t>xantin oksidase</w:t>
      </w:r>
      <w:r w:rsidRPr="00650E80">
        <w:rPr>
          <w:lang w:val="nl-NL"/>
        </w:rPr>
        <w:t xml:space="preserve"> dengan penggunaan ba</w:t>
      </w:r>
      <w:r w:rsidR="000C4F6F" w:rsidRPr="00650E80">
        <w:rPr>
          <w:lang w:val="nl-NL"/>
        </w:rPr>
        <w:t>han alam.</w:t>
      </w:r>
      <w:r w:rsidR="00AB0ED7" w:rsidRPr="00037824">
        <w:fldChar w:fldCharType="begin" w:fldLock="1"/>
      </w:r>
      <w:r w:rsidR="00650E80" w:rsidRPr="00650E80">
        <w:rPr>
          <w:lang w:val="nl-NL"/>
        </w:rPr>
        <w:instrText>ADDIN CSL_CITATION {"citationItems":[{"id":"ITEM-1","itemData":{"author":[{"dropping-particle":"","family":"Tim Bumi Medika","given":"","non-dropping-particle":"","parse-names":false,"suffix":""</w:instrText>
      </w:r>
      <w:r w:rsidR="00650E80">
        <w:instrText>}],"edition":"1","editor":[{"dropping-particle":"","family":"Sari","given":"Y. N. I.","non-dropping-particle":"","parse-names":false,"suffix":""},{"dropping-particle":"","family":"Syamsiyah","given":"N.","non-dropping-particle":"","parse-names":false,"suffix":""}],"id":"ITEM-1","issued":{"date-parts":[["2017"]]},"publisher":"Bumi Medika","publisher-place":"Jakarta","title":"Berdamai dengan Asam Urat","type":"book"},"uris":["http://www.mendeley.com/documents/?uuid=2594336a-7f18-485f-80e1-076703046f7d"]}],"mendeley":{"formattedCitation":"&lt;sup&gt;2&lt;/sup&gt;","plainTextFormattedCitation":"2","previouslyFormattedCitation":"&lt;sup&gt;2&lt;/sup&gt;"},"properties":{"noteIndex":0},"schema":"https://github.com/citation-style-language/schema/raw/master/csl-citation.json"}</w:instrText>
      </w:r>
      <w:r w:rsidR="00AB0ED7" w:rsidRPr="00037824">
        <w:fldChar w:fldCharType="separate"/>
      </w:r>
      <w:r w:rsidR="004E5F0B" w:rsidRPr="004E5F0B">
        <w:rPr>
          <w:noProof/>
          <w:vertAlign w:val="superscript"/>
        </w:rPr>
        <w:t>2</w:t>
      </w:r>
      <w:r w:rsidR="00AB0ED7" w:rsidRPr="00037824">
        <w:fldChar w:fldCharType="end"/>
      </w:r>
      <w:r w:rsidRPr="008A09D8">
        <w:t xml:space="preserve"> </w:t>
      </w:r>
    </w:p>
    <w:p w14:paraId="570EF81D" w14:textId="13B63B41" w:rsidR="008A09D8" w:rsidRPr="006D4252" w:rsidRDefault="008A09D8" w:rsidP="006D4252">
      <w:pPr>
        <w:pStyle w:val="ListParagraph"/>
        <w:spacing w:after="0" w:line="276" w:lineRule="auto"/>
        <w:ind w:left="0" w:firstLine="567"/>
        <w:rPr>
          <w:sz w:val="22"/>
        </w:rPr>
      </w:pPr>
      <w:r w:rsidRPr="008A09D8">
        <w:rPr>
          <w:sz w:val="22"/>
        </w:rPr>
        <w:t>Minuman sinom merupakan minuman tradisional Indonesia yang sangat terkenal dan digemar</w:t>
      </w:r>
      <w:r w:rsidR="000C4F6F">
        <w:rPr>
          <w:sz w:val="22"/>
        </w:rPr>
        <w:t>i oleh masyarakat.</w:t>
      </w:r>
      <w:r w:rsidR="00AB0ED7" w:rsidRPr="00113A7D">
        <w:rPr>
          <w:sz w:val="22"/>
        </w:rPr>
        <w:fldChar w:fldCharType="begin" w:fldLock="1"/>
      </w:r>
      <w:r w:rsidR="00650E80">
        <w:rPr>
          <w:sz w:val="22"/>
        </w:rPr>
        <w:instrText>ADDIN CSL_CITATION {"citationItems":[{"id":"ITEM-1","itemData":{"ISBN":"9786024375256","author":[{"dropping-particle":"","family":"Sukini","given":"","non-dropping-particle":"","parse-names":false,"suffix":""}],"id":"ITEM-1","issued":{"date-parts":[["2018"]]},"number-of-pages":"6-7","title":"Jamu Gendong Solusi Sehat Tanpa Obat","type":"book"},"uris":["http://www.mendeley.com/documents/?uuid=94465fd1-4c50-4df0-b5a6-1e290fa7d004"]}],"mendeley":{"formattedCitation":"&lt;sup&gt;5&lt;/sup&gt;","plainTextFormattedCitation":"5","previouslyFormattedCitation":"&lt;sup&gt;5&lt;/sup&gt;"},"properties":{"noteIndex":0},"schema":"https://github.com/citation-style-language/schema/raw/master/csl-citation.json"}</w:instrText>
      </w:r>
      <w:r w:rsidR="00AB0ED7" w:rsidRPr="00113A7D">
        <w:rPr>
          <w:sz w:val="22"/>
        </w:rPr>
        <w:fldChar w:fldCharType="separate"/>
      </w:r>
      <w:r w:rsidR="004E5F0B" w:rsidRPr="004E5F0B">
        <w:rPr>
          <w:noProof/>
          <w:sz w:val="22"/>
          <w:vertAlign w:val="superscript"/>
        </w:rPr>
        <w:t>5</w:t>
      </w:r>
      <w:r w:rsidR="00AB0ED7" w:rsidRPr="00113A7D">
        <w:rPr>
          <w:sz w:val="22"/>
        </w:rPr>
        <w:fldChar w:fldCharType="end"/>
      </w:r>
      <w:r w:rsidRPr="008A09D8">
        <w:rPr>
          <w:sz w:val="22"/>
        </w:rPr>
        <w:t xml:space="preserve"> Minuman sinom termasuk minuman yang mengandung senyawa antioksidan yang mampu menghambat radikal be</w:t>
      </w:r>
      <w:r w:rsidR="000C4F6F">
        <w:rPr>
          <w:sz w:val="22"/>
        </w:rPr>
        <w:t>bas.</w:t>
      </w:r>
      <w:r w:rsidR="00AB0ED7" w:rsidRPr="00C539DC">
        <w:rPr>
          <w:sz w:val="22"/>
        </w:rPr>
        <w:fldChar w:fldCharType="begin" w:fldLock="1"/>
      </w:r>
      <w:r w:rsidR="00650E80">
        <w:rPr>
          <w:sz w:val="22"/>
        </w:rPr>
        <w:instrText>ADDIN CSL_CITATION {"citationItems":[{"id":"ITEM-1","itemData":{"ISSN":"2503-488X","author":[{"dropping-particle":"","family":"Widari","given":"Ida Ayu Adi","non-dropping-particle":"","parse-names":false,"suffix":""},{"dropping-particle":"","family":"Mulyani","given":"Sri","non-dropping-particle":"","parse-names":false,"suffix":""},{"dropping-particle":"","family":"Admadi H","given":"Bambang","non-dropping-particle":"","parse-names":false,"suffix":""}],"container-title":"Jurnal Rekayasa Dan Manajemen Agroindustri","id":"ITEM-1","issue":"2","issued":{"date-parts":[["2014"]]},"page":"26-35","title":"Kunyit Asam and Sinom Beverages Inhibition With ?-Glucosidase Enzyme Activity","type":"article-journal","volume":"2"},"uris":["http://www.mendeley.com/documents/?uuid=623c60c1-74be-404b-a686-fc4f90df337c"]}],"mendeley":{"formattedCitation":"&lt;sup&gt;6&lt;/sup&gt;","plainTextFormattedCitation":"6","previouslyFormattedCitation":"&lt;sup&gt;6&lt;/sup&gt;"},"properties":{"noteIndex":0},"schema":"https://github.com/citation-style-language/schema/raw/master/csl-citation.json"}</w:instrText>
      </w:r>
      <w:r w:rsidR="00AB0ED7" w:rsidRPr="00C539DC">
        <w:rPr>
          <w:sz w:val="22"/>
        </w:rPr>
        <w:fldChar w:fldCharType="separate"/>
      </w:r>
      <w:r w:rsidR="004E5F0B" w:rsidRPr="004E5F0B">
        <w:rPr>
          <w:noProof/>
          <w:sz w:val="22"/>
          <w:vertAlign w:val="superscript"/>
        </w:rPr>
        <w:t>6</w:t>
      </w:r>
      <w:r w:rsidR="00AB0ED7" w:rsidRPr="00C539DC">
        <w:rPr>
          <w:sz w:val="22"/>
        </w:rPr>
        <w:fldChar w:fldCharType="end"/>
      </w:r>
      <w:r w:rsidRPr="008A09D8">
        <w:rPr>
          <w:sz w:val="22"/>
        </w:rPr>
        <w:t xml:space="preserve"> Minuman sinom dibuat dari campuran beberapa bahan antara lain daun asam muda, daging buah asam jawa (</w:t>
      </w:r>
      <w:r w:rsidRPr="008A09D8">
        <w:rPr>
          <w:i/>
          <w:sz w:val="22"/>
        </w:rPr>
        <w:t>Tamarindus indica L.)</w:t>
      </w:r>
      <w:r w:rsidRPr="008A09D8">
        <w:rPr>
          <w:sz w:val="22"/>
        </w:rPr>
        <w:t>, kunyit (</w:t>
      </w:r>
      <w:r w:rsidRPr="008A09D8">
        <w:rPr>
          <w:i/>
          <w:sz w:val="22"/>
        </w:rPr>
        <w:t>Curcuma domestica Val.)</w:t>
      </w:r>
      <w:r w:rsidRPr="008A09D8">
        <w:rPr>
          <w:sz w:val="22"/>
        </w:rPr>
        <w:t xml:space="preserve">, gula </w:t>
      </w:r>
      <w:r w:rsidR="004A23E7">
        <w:rPr>
          <w:sz w:val="22"/>
        </w:rPr>
        <w:t>aren, dan garam.</w:t>
      </w:r>
      <w:r w:rsidR="004A23E7" w:rsidRPr="00C539DC">
        <w:rPr>
          <w:sz w:val="22"/>
        </w:rPr>
        <w:fldChar w:fldCharType="begin" w:fldLock="1"/>
      </w:r>
      <w:r w:rsidR="00650E80">
        <w:rPr>
          <w:sz w:val="22"/>
        </w:rPr>
        <w:instrText>ADDIN CSL_CITATION {"citationItems":[{"id":"ITEM-1","itemData":{"URL":"https://farmalkes.kemkes.go.id/2015/01/bude-jamu/","author":[{"dropping-particle":"","family":"Informasi Kefarmasian dan Alat Kesehatan (Infarkes)","given":"","non-dropping-particle":"","parse-names":false,"suffix":""}],"container-title":"Badan Penelitian dan Pengembangan Kesehatan Kemenkes RI","id":"ITEM-1","issued":{"date-parts":[["2015"]]},"title":"Bugar dengan Jamu","type":"webpage"},"uris":["http://www.mendeley.com/documents/?uuid=39b5bfbc-0b9f-4f4f-9004-2e5e88ce1bfd"]}],"mendeley":{"formattedCitation":"&lt;sup&gt;7&lt;/sup&gt;","plainTextFormattedCitation":"7","previouslyFormattedCitation":"&lt;sup&gt;7&lt;/sup&gt;"},"properties":{"noteIndex":0},"schema":"https://github.com/citation-style-language/schema/raw/master/csl-citation.json"}</w:instrText>
      </w:r>
      <w:r w:rsidR="004A23E7" w:rsidRPr="00C539DC">
        <w:rPr>
          <w:sz w:val="22"/>
        </w:rPr>
        <w:fldChar w:fldCharType="separate"/>
      </w:r>
      <w:r w:rsidR="004E5F0B" w:rsidRPr="004E5F0B">
        <w:rPr>
          <w:noProof/>
          <w:sz w:val="22"/>
          <w:vertAlign w:val="superscript"/>
        </w:rPr>
        <w:t>7</w:t>
      </w:r>
      <w:r w:rsidR="004A23E7" w:rsidRPr="00C539DC">
        <w:rPr>
          <w:sz w:val="22"/>
        </w:rPr>
        <w:fldChar w:fldCharType="end"/>
      </w:r>
      <w:r w:rsidRPr="004A23E7">
        <w:t xml:space="preserve"> </w:t>
      </w:r>
      <w:r w:rsidR="006D4252" w:rsidRPr="00CC7D1B">
        <w:rPr>
          <w:sz w:val="22"/>
        </w:rPr>
        <w:t>Kunyit mengandung minyak atsiri, kurkuminoid, protein, fosfor, kalium, besi dan vitamin C.</w:t>
      </w:r>
      <w:r w:rsidR="006D4252" w:rsidRPr="00CC7D1B">
        <w:rPr>
          <w:sz w:val="22"/>
        </w:rPr>
        <w:fldChar w:fldCharType="begin" w:fldLock="1"/>
      </w:r>
      <w:r w:rsidR="00650E80" w:rsidRPr="00CC7D1B">
        <w:rPr>
          <w:sz w:val="22"/>
        </w:rPr>
        <w:instrText>ADDIN CSL_CITATION {"citationItems":[{"id":"ITEM-1","itemData":{"abstract":"ABSTRACT The purpose of this study was 1) to know the effect ratioof turmeric and tamarind leaf extract on antioxidant activity. 2) determinine ratioof turmeric and tamarind leaf that has the highest antioxidant activity and has the highest antioxidant synergism. This study used a randomized block design are three groups. Ratio of turmeric and tamarind leaf (100;0, 60;40, 55;45, 50;50, 45;55, 40;60, 0;100). The variables measure in this study are : water content, total phenolic,antioxidant capacity, and vitamin C. The results showed that the ratio of turmeric and tamarind leaf has significant effect on all variables measured.Ratioof turmeric and tamarind leaf having the best is the treatment has highest antioxidant activity from ratio 55% : 45% turmeric and tamarind extract.Ratio extract 55% and 45% acid leaves the antioxidant capacity of 4,84 (mg GAEAC/100g extract), total phenolic 12.8 (mg GAE /100g extract), vitamin C 426 (mg /100 g ), the water content of 22.9% and have highest synergism with value of 179.28%.","author":[{"dropping-particle":"","family":"Riaminanti","given":"Ni Kadek","non-dropping-particle":"","parse-names":false,"suffix":""},{"dropping-particle":"","family":"Hartiati","given":"Amna","non-dropping-particle":"","parse-names":false,"suffix":""},{"dropping-particle":"","family":"Mulyani","given":"Sri","non-dropping-particle":"","parse-names":false,"suffix":""}],"container-title":"Rekayasa Dan Manajemen Agroindustri","id":"ITEM-1","issue":"3","issued":{"date-parts":[["2016"]]},"page":"93-104","title":"Studi kapasitas dan sinergisme antioksidan pada ekstrak kunyit dan daun asam","type":"article-journal","volume":"4"},"uris":["http://www.mendeley.com/documents/?uuid=1bd68485-3ad7-4914-9112-6e3100174e10"]}],"mendeley":{"formattedCitation":"&lt;sup&gt;8&lt;/sup&gt;","plainTextFormattedCitation":"8","previouslyFormattedCitation":"&lt;sup&gt;8&lt;/sup&gt;"},"properties":{"noteIndex":0},"schema":"https://github.com/citation-style-language/schema/raw/master/csl-citation.json"}</w:instrText>
      </w:r>
      <w:r w:rsidR="006D4252" w:rsidRPr="00CC7D1B">
        <w:rPr>
          <w:sz w:val="22"/>
        </w:rPr>
        <w:fldChar w:fldCharType="separate"/>
      </w:r>
      <w:r w:rsidR="004E5F0B" w:rsidRPr="00CC7D1B">
        <w:rPr>
          <w:noProof/>
          <w:sz w:val="22"/>
          <w:vertAlign w:val="superscript"/>
        </w:rPr>
        <w:t>8</w:t>
      </w:r>
      <w:r w:rsidR="006D4252" w:rsidRPr="00CC7D1B">
        <w:rPr>
          <w:sz w:val="22"/>
        </w:rPr>
        <w:fldChar w:fldCharType="end"/>
      </w:r>
      <w:r w:rsidR="006D4252" w:rsidRPr="00CC7D1B">
        <w:rPr>
          <w:sz w:val="22"/>
        </w:rPr>
        <w:t xml:space="preserve"> Daging buah asam jawa mengandung senyawa alkaloid, saponin, glikosida, flavonoid, dan tannin.</w:t>
      </w:r>
      <w:r w:rsidR="006D4252" w:rsidRPr="00CC7D1B">
        <w:rPr>
          <w:sz w:val="22"/>
        </w:rPr>
        <w:fldChar w:fldCharType="begin" w:fldLock="1"/>
      </w:r>
      <w:r w:rsidR="00650E80" w:rsidRPr="00CC7D1B">
        <w:rPr>
          <w:sz w:val="22"/>
        </w:rPr>
        <w:instrText>ADDIN CSL_CITATION {"citationItems":[{"id":"ITEM-1","itemData":{"abstract":"In this study, we investigated the effects of methanolic extract of Tamarindus indica (TI) seeds on anti-inflammatory and analgesic activities in vivo using rat as an animal model at the doses of 100 mg/kg, 200 mg/kg and 400 mg/kg body weight. The anti-inflammatory activities were investigated by utilizing carrageenan induced paw edema in rat. The analgesic activity was examined against tail immersion method in rats. The results showed that TI significantly (p&lt;0.01) reduced carrageenan induced paw edema in rats. In tail immersion method, methanolic extract of Tamarindus indica has shown significant (p&lt;0.01) increase in reaction time of tail in water maintained at 55°C indicating analgesic activity. Preliminary phytochemical screening of the extract revealed the presence of alkaloids, tannins, saponins, glycosides and flavonoids. These results demonstrated that the methanolic extract of Tamarindus indica (TI) seed exhibited significant analgesic and anti-inflammatory activities.","author":[{"dropping-particle":"","family":"Suralkar","given":"Anupama A","non-dropping-particle":"","parse-names":false,"suffix":""},{"dropping-particle":"","family":"Rodge","given":"Kishor N","non-dropping-particle":"","parse-names":false,"suffix":""},{"dropping-particle":"","family":"Kamble","given":"Rahul D","non-dropping-particle":"","parse-names":false,"suffix":""},{"dropping-particle":"","family":"Maske","given":"Kanchan S","non-dropping-particle":"","parse-names":false,"suffix":""}],"container-title":"International Journal of Pharmaceutical Sciences and Drug Research","id":"ITEM-1","issue":"3","issued":{"date-parts":[["2012"]]},"page":"213-217","title":"Evaluation of Anti-inflammatory and Analgesic Activities of Tamarindus indica Seeds","type":"article-journal","volume":"4"},"uris":["http://www.mendeley.com/documents/?uuid=bddac240-5780-4452-a8e4-63e97b7cd140"]}],"mendeley":{"formattedCitation":"&lt;sup&gt;9&lt;/sup&gt;","plainTextFormattedCitation":"9","previouslyFormattedCitation":"&lt;sup&gt;9&lt;/sup&gt;"},"properties":{"noteIndex":0},"schema":"https://github.com/citation-style-language/schema/raw/master/csl-citation.json"}</w:instrText>
      </w:r>
      <w:r w:rsidR="006D4252" w:rsidRPr="00CC7D1B">
        <w:rPr>
          <w:sz w:val="22"/>
        </w:rPr>
        <w:fldChar w:fldCharType="separate"/>
      </w:r>
      <w:r w:rsidR="004E5F0B" w:rsidRPr="00CC7D1B">
        <w:rPr>
          <w:noProof/>
          <w:sz w:val="22"/>
          <w:vertAlign w:val="superscript"/>
        </w:rPr>
        <w:t>9</w:t>
      </w:r>
      <w:r w:rsidR="006D4252" w:rsidRPr="00CC7D1B">
        <w:rPr>
          <w:sz w:val="22"/>
        </w:rPr>
        <w:fldChar w:fldCharType="end"/>
      </w:r>
      <w:r w:rsidR="006D4252" w:rsidRPr="00CC7D1B">
        <w:rPr>
          <w:sz w:val="22"/>
        </w:rPr>
        <w:t xml:space="preserve"> Sedangkan daun asam muda mengandung senyawa fenolik seperti flavonoid dan vitamin C.</w:t>
      </w:r>
      <w:r w:rsidR="006D4252" w:rsidRPr="00CC7D1B">
        <w:fldChar w:fldCharType="begin" w:fldLock="1"/>
      </w:r>
      <w:r w:rsidR="00650E80" w:rsidRPr="00CC7D1B">
        <w:instrText>ADDIN CSL_CITATION {"citationItems":[{"id":"ITEM-1","itemData":{"ISSN":"2503-488X","author":[{"dropping-particle":"","family":"Widari","given":"Ida Ayu Adi","non-dropping-particle":"","parse-names":false,"suffix":""},{"dropping-particle":"","family":"Mulyani","given":"Sri","non-dropping-particle":"","parse-names":false,"suffix":""},{"dropping-particle":"","family":"Admadi H","given":"Bambang","non-dropping-particle":"","parse-names":false,"suffix":""}],"container-title":"Jurnal Rekayasa Dan Manajemen Agroindustri","id":"ITEM-1","issue":"2","issued":{"date-parts":[["2014"]]},"page":"26-35","title":"Kunyit Asam and Sinom Beverages Inhibition With ?-Glucosidase Enzyme Activity","type":"article-journal","volume":"2"},"uris":["http://www.mendeley.com/documents/?uuid=623c60c1-74be-404b-a686-fc4f90df337c"]}],"mendeley":{"formattedCitation":"&lt;sup&gt;6&lt;/sup&gt;","plainTextFormattedCitation":"6","previouslyFormattedCitation":"&lt;sup&gt;6&lt;/sup&gt;"},"properties":{"noteIndex":0},"schema":"https://github.com/citation-style-language/schema/raw/master/csl-citation.json"}</w:instrText>
      </w:r>
      <w:r w:rsidR="006D4252" w:rsidRPr="00CC7D1B">
        <w:fldChar w:fldCharType="separate"/>
      </w:r>
      <w:r w:rsidR="004E5F0B" w:rsidRPr="00CC7D1B">
        <w:rPr>
          <w:noProof/>
          <w:vertAlign w:val="superscript"/>
        </w:rPr>
        <w:t>6</w:t>
      </w:r>
      <w:r w:rsidR="006D4252" w:rsidRPr="00CC7D1B">
        <w:fldChar w:fldCharType="end"/>
      </w:r>
      <w:r w:rsidR="006D4252" w:rsidRPr="00CC7D1B">
        <w:rPr>
          <w:sz w:val="22"/>
        </w:rPr>
        <w:t xml:space="preserve"> </w:t>
      </w:r>
      <w:r w:rsidR="00986144" w:rsidRPr="00CC7D1B">
        <w:rPr>
          <w:sz w:val="22"/>
        </w:rPr>
        <w:t>M</w:t>
      </w:r>
      <w:r w:rsidRPr="00CC7D1B">
        <w:rPr>
          <w:sz w:val="22"/>
        </w:rPr>
        <w:t>inuman sinom memilik efek antidiabetik. Hal ini dibuktikan dengan hasil penelitiannya yang menunjukkan bahwa minuman sinom memiliki khasiat dalam meningkatkan regenerasi sel β secara signifikan di jaringan pulau Langerhans pada mencit diabetes melitus</w:t>
      </w:r>
      <w:r w:rsidR="009523C6" w:rsidRPr="00CC7D1B">
        <w:rPr>
          <w:sz w:val="22"/>
        </w:rPr>
        <w:t>.</w:t>
      </w:r>
      <w:r w:rsidR="00A942D2" w:rsidRPr="00CC7D1B">
        <w:rPr>
          <w:sz w:val="22"/>
        </w:rPr>
        <w:fldChar w:fldCharType="begin" w:fldLock="1"/>
      </w:r>
      <w:r w:rsidR="00650E80" w:rsidRPr="00CC7D1B">
        <w:rPr>
          <w:sz w:val="22"/>
        </w:rPr>
        <w:instrText>ADDIN CSL_CITATION {"citationItems":[{"id":"ITEM-1","itemData":{"DOI":"10.1088/1757-899X/434/1/012325","ISSN":"1757899X","abstract":"Drink sinom is beverage was from rhizomes turmeric and leaves acid young as an alternative treatment diabetics mellitus, because it contains compound antioxidant. Research aims to understand percentage of regeneration cells β the island of langerhans the pancreas mice sprague dawley (SD) diabetes mellitus therapy antioxidant doses faction drink sinom water. Research experimental this is a bioassay with Treatment the various doses of water drink sinom: (1) 0 mg / kg BW, (2) 50 mg / kg BW, (3) 100 mg / kg BW, (4) 150 mg / kg BW mice, (5) 200 mg / kg BW. Making mice diabetes done by means of induction strepotozocin in intraperitoneal dose of 50 mg / kg BW mice, an analysis of data using random design complete (RAL). Faction doses water significantly influence (p&lt;0,05) on the percentage of cells β per roomy of view island of Langerhans tissue the pancreas mice DM. The results of comparative test double BNT show that cells β various dosages water faction beverages sinom different real. The immunohistochemistry shows that a dose of water drink sinom 50 mg / kg BW mice able to improve percentage of regeneration cells β highest 45,45 % approaching condition of the cell β mice control ( 60,75 % ). The research results show that doses lowest faction water drink sinom has improved regeneration cells β significantly to percentage of cells β the island of Langerhans tissue of the pancreas mice sprague dawley diabetes mellitus.","author":[{"dropping-particle":"","family":"Wiradnyani","given":"N. K.","non-dropping-particle":"","parse-names":false,"suffix":""}],"container-title":"IOP Conference Series: Materials Science and Engineering","id":"ITEM-1","issue":"1","issued":{"date-parts":[["2018"]]},"title":"Dosage antioxidant drink sinom of β cell langerhans islet white mice spraque dawley diabetes mellitus","type":"article-journal","volume":"434"},"uris":["http://www.mendeley.com/documents/?uuid=8d945b2e-f135-403d-9ad6-2c25647520d8"]}],"mendeley":{"formattedCitation":"&lt;sup&gt;10&lt;/sup&gt;","plainTextFormattedCitation":"10","previouslyFormattedCitation":"&lt;sup&gt;10&lt;/sup&gt;"},"properties":{"noteIndex":0},"schema":"https://github.com/citation-style-language/schema/raw/master/csl-citation.json"}</w:instrText>
      </w:r>
      <w:r w:rsidR="00A942D2" w:rsidRPr="00CC7D1B">
        <w:rPr>
          <w:sz w:val="22"/>
        </w:rPr>
        <w:fldChar w:fldCharType="separate"/>
      </w:r>
      <w:r w:rsidR="004E5F0B" w:rsidRPr="00CC7D1B">
        <w:rPr>
          <w:noProof/>
          <w:sz w:val="22"/>
          <w:vertAlign w:val="superscript"/>
        </w:rPr>
        <w:t>10</w:t>
      </w:r>
      <w:r w:rsidR="00A942D2" w:rsidRPr="00CC7D1B">
        <w:rPr>
          <w:sz w:val="22"/>
        </w:rPr>
        <w:fldChar w:fldCharType="end"/>
      </w:r>
      <w:r w:rsidR="006D4252" w:rsidRPr="0042741B">
        <w:rPr>
          <w:sz w:val="22"/>
        </w:rPr>
        <w:t xml:space="preserve"> </w:t>
      </w:r>
    </w:p>
    <w:p w14:paraId="745159F5" w14:textId="77777777" w:rsidR="00AB2705" w:rsidRPr="002329EF" w:rsidRDefault="008A09D8" w:rsidP="007D13A2">
      <w:pPr>
        <w:pStyle w:val="ListParagraph"/>
        <w:spacing w:after="0" w:line="276" w:lineRule="auto"/>
        <w:ind w:left="0" w:firstLine="567"/>
      </w:pPr>
      <w:r w:rsidRPr="008A09D8">
        <w:rPr>
          <w:sz w:val="22"/>
        </w:rPr>
        <w:t>Hasil penelitian yang</w:t>
      </w:r>
      <w:r w:rsidR="00A4295C">
        <w:rPr>
          <w:sz w:val="22"/>
        </w:rPr>
        <w:t xml:space="preserve"> dilakukan Budiyati dkk.,</w:t>
      </w:r>
      <w:r w:rsidRPr="008A09D8">
        <w:rPr>
          <w:sz w:val="22"/>
        </w:rPr>
        <w:t xml:space="preserve"> menunjukkan bahwa asupan antioksidan vitamin C dan flavonoid dapat menurunkan kadar asam urat</w:t>
      </w:r>
      <w:r w:rsidR="00BB7815" w:rsidRPr="00BB7815">
        <w:rPr>
          <w:sz w:val="22"/>
        </w:rPr>
        <w:t>.</w:t>
      </w:r>
      <w:r w:rsidR="000B5A36" w:rsidRPr="00C539DC">
        <w:rPr>
          <w:sz w:val="22"/>
        </w:rPr>
        <w:fldChar w:fldCharType="begin" w:fldLock="1"/>
      </w:r>
      <w:r w:rsidR="00650E80">
        <w:rPr>
          <w:sz w:val="22"/>
        </w:rPr>
        <w:instrText>ADDIN CSL_CITATION {"citationItems":[{"id":"ITEM-1","itemData":{"author":[{"dropping-particle":"","family":"Budiyati","given":"Diyah","non-dropping-particle":"","parse-names":false,"suffix":""},{"dropping-particle":"","family":"Setiyawan","given":"","non-dropping-particle":"","parse-names":false,"suffix":""},{"dropping-particle":"","family":"Suryandari","given":"Dewi","non-dropping-particle":"","parse-names":false,"suffix":""}],"container-title":"STIKes Kusuma Husada Surakarta","id":"ITEM-1","issued":{"date-parts":[["2017"]]},"page":"1-9","title":"Pengaruh Pemberian Jeruk Nipis Dan Madu Terhadap Kadar Asam Urat Di Dusun Kendelban Kemusu Boyolali","type":"article-journal"},"uris":["http://www.mendeley.com/documents/?uuid=c32ec96a-97fd-4f8b-91d5-6fc45b1c04cb"]}],"mendeley":{"formattedCitation":"&lt;sup&gt;11&lt;/sup&gt;","plainTextFormattedCitation":"11","previouslyFormattedCitation":"&lt;sup&gt;11&lt;/sup&gt;"},"properties":{"noteIndex":0},"schema":"https://github.com/citation-style-language/schema/raw/master/csl-citation.json"}</w:instrText>
      </w:r>
      <w:r w:rsidR="000B5A36" w:rsidRPr="00C539DC">
        <w:rPr>
          <w:sz w:val="22"/>
        </w:rPr>
        <w:fldChar w:fldCharType="separate"/>
      </w:r>
      <w:r w:rsidR="004E5F0B" w:rsidRPr="004E5F0B">
        <w:rPr>
          <w:noProof/>
          <w:sz w:val="22"/>
          <w:vertAlign w:val="superscript"/>
        </w:rPr>
        <w:t>11</w:t>
      </w:r>
      <w:r w:rsidR="000B5A36" w:rsidRPr="00C539DC">
        <w:rPr>
          <w:sz w:val="22"/>
        </w:rPr>
        <w:fldChar w:fldCharType="end"/>
      </w:r>
      <w:r w:rsidRPr="00BB7815">
        <w:t xml:space="preserve"> </w:t>
      </w:r>
      <w:r w:rsidR="00C510A9" w:rsidRPr="0042741B">
        <w:rPr>
          <w:sz w:val="22"/>
        </w:rPr>
        <w:t>F</w:t>
      </w:r>
      <w:r w:rsidR="006D4252" w:rsidRPr="0042741B">
        <w:rPr>
          <w:sz w:val="22"/>
        </w:rPr>
        <w:t>lavonoid</w:t>
      </w:r>
      <w:r w:rsidR="00C510A9">
        <w:rPr>
          <w:sz w:val="22"/>
        </w:rPr>
        <w:t xml:space="preserve"> </w:t>
      </w:r>
      <w:r w:rsidRPr="008A09D8">
        <w:rPr>
          <w:sz w:val="22"/>
        </w:rPr>
        <w:t xml:space="preserve">dapat menurunkan kadar asam urat dengan mengurangi aktivitas enzim </w:t>
      </w:r>
      <w:r w:rsidRPr="008A09D8">
        <w:rPr>
          <w:i/>
          <w:sz w:val="22"/>
        </w:rPr>
        <w:t>xantine oksidase</w:t>
      </w:r>
      <w:r w:rsidRPr="008A09D8">
        <w:rPr>
          <w:sz w:val="22"/>
        </w:rPr>
        <w:t xml:space="preserve"> dalam serum dan meningkatkan konsent</w:t>
      </w:r>
      <w:r w:rsidR="002329EF">
        <w:rPr>
          <w:sz w:val="22"/>
        </w:rPr>
        <w:t>rasi asam urat dalam urin.</w:t>
      </w:r>
      <w:r w:rsidR="00A924D5" w:rsidRPr="00C539DC">
        <w:rPr>
          <w:sz w:val="22"/>
        </w:rPr>
        <w:fldChar w:fldCharType="begin" w:fldLock="1"/>
      </w:r>
      <w:r w:rsidR="00650E80">
        <w:rPr>
          <w:sz w:val="22"/>
        </w:rPr>
        <w:instrText>ADDIN CSL_CITATION {"citationItems":[{"id":"ITEM-1","itemData":{"DOI":"10.3390/molecules18089770","ISSN":"14203049","PMID":"23955322","abstract":"Catharanthus roseus (L.) G. Don is a herbal plant traditionally used by local populations in India, South Africa, China and Malaysia to treat diabetes. The present study reports the in vitro antioxidant and antidiabetic activities of the major alkaloids isolated from Catharanthus roseus (L.) G. Don leaves extract. Four alkaloids - vindoline I, vindolidine II, vindolicine III and vindolinine IV - were isolated and identified from the dichloromethane extract (DE) of this plant's leaves. DE and compounds I-III were not cytotoxic towards pancreatic β-TC6 cells at the highest dosage tested (25.0 μg/mL). All four alkaloids induced relatively high glucose uptake in pancreatic β-TC6 or myoblast C2C12 cells, with III showing the highest activity. In addition, compounds II-IV demonstrated good protein tyrosine phosphatase-1B (PTP-1B) inhibition activity, implying their therapeutic potential against type 2 diabetes. III showed the highest antioxidant potential in ORAC and DPPH assays and it also alleviated H2O2-induced oxidative damage in β-TC6 cells at 12.5 μg/mL and 25.0 μg/mL. © 2013 by the authors; licensee MDPI, Basel, Switzerland.","author":[{"dropping-particle":"","family":"Tiong","given":"Soon Huat","non-dropping-particle":"","parse-names":false,"suffix":""},{"dropping-particle":"","family":"Looi","given":"Chung Yeng","non-dropping-particle":"","parse-names":false,"suffix":""},{"dropping-particle":"","family":"Hazni","given":"Hazrina","non-dropping-particle":"","parse-names":false,"suffix":""},{"dropping-particle":"","family":"Arya","given":"Aditya","non-dropping-particle":"","parse-names":false,"suffix":""},{"dropping-particle":"","family":"Paydar","given":"Mohammadjavad","non-dropping-particle":"","parse-names":false,"suffix":""},{"dropping-particle":"","family":"Wong","given":"Won Fen","non-dropping-particle":"","parse-names":false,"suffix":""},{"dropping-particle":"","family":"Cheah","given":"Shiau Chuen","non-dropping-particle":"","parse-names":false,"suffix":""},{"dropping-particle":"","family":"Mustafa","given":"Mohd Rais","non-dropping-particle":"","parse-names":false,"suffix":""},{"dropping-particle":"","family":"Awang","given":"Khalijah","non-dropping-particle":"","parse-names":false,"suffix":""}],"container-title":"Molecules","id":"ITEM-1","issue":"8","issued":{"date-parts":[["2013"]]},"page":"9770-9784","title":"Antidiabetic and antioxidant properties of alkaloids from Catharanthus roseus (L.) G. Don","type":"article-journal","volume":"18"},"uris":["http://www.mendeley.com/documents/?uuid=7510a3dc-0ff8-40ef-ab0a-6d1dea209aa3"]}],"mendeley":{"formattedCitation":"&lt;sup&gt;12&lt;/sup&gt;","plainTextFormattedCitation":"12","previouslyFormattedCitation":"&lt;sup&gt;12&lt;/sup&gt;"},"properties":{"noteIndex":0},"schema":"https://github.com/citation-style-language/schema/raw/master/csl-citation.json"}</w:instrText>
      </w:r>
      <w:r w:rsidR="00A924D5" w:rsidRPr="00C539DC">
        <w:rPr>
          <w:sz w:val="22"/>
        </w:rPr>
        <w:fldChar w:fldCharType="separate"/>
      </w:r>
      <w:r w:rsidR="004E5F0B" w:rsidRPr="004E5F0B">
        <w:rPr>
          <w:noProof/>
          <w:sz w:val="22"/>
          <w:vertAlign w:val="superscript"/>
        </w:rPr>
        <w:t>12</w:t>
      </w:r>
      <w:r w:rsidR="00A924D5" w:rsidRPr="00C539DC">
        <w:rPr>
          <w:sz w:val="22"/>
        </w:rPr>
        <w:fldChar w:fldCharType="end"/>
      </w:r>
      <w:r w:rsidRPr="008A09D8">
        <w:rPr>
          <w:sz w:val="22"/>
        </w:rPr>
        <w:t xml:space="preserve"> Sedangkan vitamin C dapat menurunkan kadar asam urat dalam darah dengan cara</w:t>
      </w:r>
      <w:r w:rsidR="00B267CA">
        <w:rPr>
          <w:sz w:val="22"/>
        </w:rPr>
        <w:t xml:space="preserve"> </w:t>
      </w:r>
      <w:r w:rsidRPr="008A09D8">
        <w:rPr>
          <w:sz w:val="22"/>
        </w:rPr>
        <w:t>meningkatkan pembuangan asam urat melalui ginjal yang akan keluar bersa</w:t>
      </w:r>
      <w:r w:rsidR="002329EF">
        <w:rPr>
          <w:sz w:val="22"/>
        </w:rPr>
        <w:t>ma urine</w:t>
      </w:r>
      <w:r w:rsidR="002329EF" w:rsidRPr="002329EF">
        <w:t>.</w:t>
      </w:r>
      <w:r w:rsidR="00A924D5" w:rsidRPr="00C539DC">
        <w:rPr>
          <w:sz w:val="22"/>
        </w:rPr>
        <w:fldChar w:fldCharType="begin" w:fldLock="1"/>
      </w:r>
      <w:r w:rsidR="00650E80">
        <w:rPr>
          <w:sz w:val="22"/>
        </w:rPr>
        <w:instrText>ADDIN CSL_CITATION {"citationItems":[{"id":"ITEM-1","itemData":{"author":[{"dropping-particle":"","family":"Tim Bumi Medika","given":"","non-dropping-particle":"","parse-names":false,"suffix":""}],"edition":"1","editor":[{"dropping-particle":"","family":"Sari","given":"Y. N. I.","non-dropping-particle":"","parse-names":false,"suffix":""},{"dropping-particle":"","family":"Syamsiyah","given":"N.","non-dropping-particle":"","parse-names":false,"suffix":""}],"id":"ITEM-1","issued":{"date-parts":[["2017"]]},"publisher":"Bumi Medika","publisher-place":"Jakarta","title":"Berdamai dengan Asam Urat","type":"book"},"uris":["http://www.mendeley.com/documents/?uuid=2594336a-7f18-485f-80e1-076703046f7d"]}],"mendeley":{"formattedCitation":"&lt;sup&gt;2&lt;/sup&gt;","plainTextFormattedCitation":"2","previouslyFormattedCitation":"&lt;sup&gt;2&lt;/sup&gt;"},"properties":{"noteIndex":0},"schema":"https://github.com/citation-style-language/schema/raw/master/csl-citation.json"}</w:instrText>
      </w:r>
      <w:r w:rsidR="00A924D5" w:rsidRPr="00C539DC">
        <w:rPr>
          <w:sz w:val="22"/>
        </w:rPr>
        <w:fldChar w:fldCharType="separate"/>
      </w:r>
      <w:r w:rsidR="004E5F0B" w:rsidRPr="004E5F0B">
        <w:rPr>
          <w:noProof/>
          <w:sz w:val="22"/>
          <w:vertAlign w:val="superscript"/>
        </w:rPr>
        <w:t>2</w:t>
      </w:r>
      <w:r w:rsidR="00A924D5" w:rsidRPr="00C539DC">
        <w:rPr>
          <w:sz w:val="22"/>
        </w:rPr>
        <w:fldChar w:fldCharType="end"/>
      </w:r>
    </w:p>
    <w:p w14:paraId="6FF4FBA5" w14:textId="77777777" w:rsidR="001E0162" w:rsidRPr="0042741B" w:rsidRDefault="008A09D8" w:rsidP="00D2489A">
      <w:pPr>
        <w:pStyle w:val="ListParagraph"/>
        <w:spacing w:after="120" w:line="276" w:lineRule="auto"/>
        <w:ind w:left="0" w:firstLine="567"/>
        <w:rPr>
          <w:sz w:val="22"/>
        </w:rPr>
      </w:pPr>
      <w:r w:rsidRPr="00BA472B">
        <w:rPr>
          <w:sz w:val="22"/>
        </w:rPr>
        <w:t>Berdasarkan uraian di atas pe</w:t>
      </w:r>
      <w:r w:rsidR="00C510A9">
        <w:rPr>
          <w:sz w:val="22"/>
        </w:rPr>
        <w:t>neliti tertarik untuk meng</w:t>
      </w:r>
      <w:r w:rsidR="00C510A9" w:rsidRPr="0042741B">
        <w:rPr>
          <w:sz w:val="22"/>
        </w:rPr>
        <w:t>analisis</w:t>
      </w:r>
      <w:r w:rsidRPr="00BA472B">
        <w:rPr>
          <w:sz w:val="22"/>
        </w:rPr>
        <w:t xml:space="preserve"> potensi minuman sinom terhadap perubahan kadar asam urat </w:t>
      </w:r>
      <w:r w:rsidRPr="00BA472B">
        <w:rPr>
          <w:color w:val="000000"/>
          <w:sz w:val="22"/>
        </w:rPr>
        <w:t xml:space="preserve">tikus putih </w:t>
      </w:r>
      <w:r w:rsidRPr="00BA472B">
        <w:rPr>
          <w:sz w:val="22"/>
        </w:rPr>
        <w:t>(</w:t>
      </w:r>
      <w:r w:rsidRPr="00BA472B">
        <w:rPr>
          <w:i/>
          <w:sz w:val="22"/>
        </w:rPr>
        <w:t>Rattus norvegicus</w:t>
      </w:r>
      <w:r w:rsidRPr="00BA472B">
        <w:rPr>
          <w:sz w:val="22"/>
        </w:rPr>
        <w:t xml:space="preserve">) </w:t>
      </w:r>
      <w:r w:rsidRPr="00BA472B">
        <w:rPr>
          <w:color w:val="000000"/>
          <w:sz w:val="22"/>
        </w:rPr>
        <w:t>jantan</w:t>
      </w:r>
      <w:r w:rsidRPr="00BA472B">
        <w:rPr>
          <w:sz w:val="22"/>
        </w:rPr>
        <w:t xml:space="preserve"> galur wistar yang telah dibuat hiperurisemia dengan induksi kafein. Peneliti menggunakan produk minuman sinom yang didapatkan langsung dari salah satu rumah produksi di Jember dengan kandungan bahan yaitu daun asam muda, kunyit, asam, dan gula tebu. Penelitian ini dilakukan dengan harapan agar dapat mengembangkan minuman sinom yang kaya antioksidan menjadi minuman fungsional yang dapat membantu menurunkan kadar asam urat dalam darah pada penderita hiperurisemia.</w:t>
      </w:r>
    </w:p>
    <w:p w14:paraId="2466DBA9" w14:textId="77777777" w:rsidR="00D2489A" w:rsidRPr="0042741B" w:rsidRDefault="00D2489A" w:rsidP="001E0162">
      <w:pPr>
        <w:pStyle w:val="ListParagraph"/>
        <w:spacing w:after="120" w:line="276" w:lineRule="auto"/>
        <w:ind w:left="0" w:firstLine="567"/>
        <w:rPr>
          <w:sz w:val="22"/>
        </w:rPr>
      </w:pPr>
    </w:p>
    <w:p w14:paraId="19059978" w14:textId="77777777" w:rsidR="00AB2705" w:rsidRDefault="00AB2705" w:rsidP="007967DB">
      <w:pPr>
        <w:pStyle w:val="ListParagraph"/>
        <w:numPr>
          <w:ilvl w:val="0"/>
          <w:numId w:val="5"/>
        </w:numPr>
        <w:spacing w:after="0" w:line="276" w:lineRule="auto"/>
        <w:ind w:left="426" w:hanging="426"/>
        <w:rPr>
          <w:b/>
        </w:rPr>
      </w:pPr>
      <w:r w:rsidRPr="0048388F">
        <w:rPr>
          <w:b/>
          <w:sz w:val="22"/>
        </w:rPr>
        <w:t>METODOLOGI</w:t>
      </w:r>
    </w:p>
    <w:p w14:paraId="06DD577B" w14:textId="510BFBBD" w:rsidR="00C97C0C" w:rsidRPr="0042741B" w:rsidRDefault="008A09D8" w:rsidP="00C97C0C">
      <w:pPr>
        <w:pStyle w:val="ListParagraph"/>
        <w:spacing w:after="0" w:line="276" w:lineRule="auto"/>
        <w:ind w:left="0" w:firstLine="567"/>
        <w:rPr>
          <w:sz w:val="22"/>
        </w:rPr>
      </w:pPr>
      <w:r w:rsidRPr="008A09D8">
        <w:rPr>
          <w:sz w:val="22"/>
        </w:rPr>
        <w:t xml:space="preserve">Penelitian ini merupakan penelitian </w:t>
      </w:r>
      <w:r w:rsidRPr="008A09D8">
        <w:rPr>
          <w:i/>
          <w:sz w:val="22"/>
        </w:rPr>
        <w:t>true eksperimen</w:t>
      </w:r>
      <w:r w:rsidR="00447A0B">
        <w:rPr>
          <w:sz w:val="22"/>
        </w:rPr>
        <w:t xml:space="preserve"> dengan d</w:t>
      </w:r>
      <w:r w:rsidRPr="008A09D8">
        <w:rPr>
          <w:sz w:val="22"/>
        </w:rPr>
        <w:t>esain p</w:t>
      </w:r>
      <w:r w:rsidR="00447A0B">
        <w:rPr>
          <w:sz w:val="22"/>
        </w:rPr>
        <w:t>enelitian</w:t>
      </w:r>
      <w:r w:rsidR="0039431F">
        <w:rPr>
          <w:sz w:val="22"/>
        </w:rPr>
        <w:t xml:space="preserve"> </w:t>
      </w:r>
      <w:r w:rsidR="00C510A9">
        <w:rPr>
          <w:i/>
          <w:sz w:val="22"/>
        </w:rPr>
        <w:t>Pr</w:t>
      </w:r>
      <w:r w:rsidR="00C510A9">
        <w:rPr>
          <w:i/>
          <w:sz w:val="22"/>
          <w:lang w:val="en-GB"/>
        </w:rPr>
        <w:t>e</w:t>
      </w:r>
      <w:r w:rsidR="0039431F">
        <w:rPr>
          <w:i/>
          <w:sz w:val="22"/>
        </w:rPr>
        <w:t>-Pos</w:t>
      </w:r>
      <w:r w:rsidRPr="008A09D8">
        <w:rPr>
          <w:i/>
          <w:sz w:val="22"/>
        </w:rPr>
        <w:t>t</w:t>
      </w:r>
      <w:r w:rsidR="0039431F">
        <w:rPr>
          <w:i/>
          <w:sz w:val="22"/>
        </w:rPr>
        <w:t xml:space="preserve"> Test</w:t>
      </w:r>
      <w:r w:rsidRPr="008A09D8">
        <w:rPr>
          <w:i/>
          <w:sz w:val="22"/>
        </w:rPr>
        <w:t xml:space="preserve"> with Control Group Design</w:t>
      </w:r>
      <w:r w:rsidRPr="008A09D8">
        <w:rPr>
          <w:sz w:val="22"/>
        </w:rPr>
        <w:t xml:space="preserve"> yang dilakukan </w:t>
      </w:r>
      <w:r w:rsidR="0039431F">
        <w:rPr>
          <w:sz w:val="22"/>
        </w:rPr>
        <w:t xml:space="preserve">secara acak. </w:t>
      </w:r>
      <w:r w:rsidR="00D06562" w:rsidRPr="008A09D8">
        <w:rPr>
          <w:sz w:val="22"/>
        </w:rPr>
        <w:t>Penelitian ini dilaksanakan pada bulan November 2019</w:t>
      </w:r>
      <w:r w:rsidR="00D06562">
        <w:rPr>
          <w:sz w:val="22"/>
        </w:rPr>
        <w:t xml:space="preserve"> – </w:t>
      </w:r>
      <w:r w:rsidR="00D06562" w:rsidRPr="008A09D8">
        <w:rPr>
          <w:sz w:val="22"/>
        </w:rPr>
        <w:t xml:space="preserve">Januari 2020. </w:t>
      </w:r>
      <w:r w:rsidR="0039431F">
        <w:rPr>
          <w:sz w:val="22"/>
        </w:rPr>
        <w:t>Pemeliharaan dan perlakuan hewan coba dilaksanakan di Laboratorium Biomedik Fakultas Kedokteran Gigi Universitas Jember. Pemeriksaan kadar asam urat dilaksanakan di Laboratorium Prosenda Baru Jember. Pen</w:t>
      </w:r>
      <w:r w:rsidR="007D13A2">
        <w:rPr>
          <w:sz w:val="22"/>
        </w:rPr>
        <w:t>gujian kandungan Vitamin C</w:t>
      </w:r>
      <w:r w:rsidR="0039431F">
        <w:rPr>
          <w:sz w:val="22"/>
        </w:rPr>
        <w:t xml:space="preserve"> minuman sinom dilaksanakan di Laboratorium Biosain Politeknik Negeri Jember dan pengujian kandungan flavonoid dan aktifitas minuman sinom dilaksanakan di Laboratorium Analis Pangan Politeknik Negeri Jember.</w:t>
      </w:r>
      <w:r w:rsidR="00D06562" w:rsidRPr="0042741B">
        <w:rPr>
          <w:sz w:val="22"/>
        </w:rPr>
        <w:t xml:space="preserve"> Hasil uji diperoleh yaitu dalam 100 ml minuman sinom mengandung vitamin C 26,307 mg, flavonoid 9,2 mg, dan aktifitas antioksidan 26,4%.</w:t>
      </w:r>
    </w:p>
    <w:p w14:paraId="7471B6B6" w14:textId="77777777" w:rsidR="001E0162" w:rsidRPr="0042741B" w:rsidRDefault="00C97C0C" w:rsidP="001E0162">
      <w:pPr>
        <w:pStyle w:val="ListParagraph"/>
        <w:spacing w:after="0" w:line="276" w:lineRule="auto"/>
        <w:ind w:left="0" w:firstLine="567"/>
        <w:rPr>
          <w:sz w:val="22"/>
        </w:rPr>
      </w:pPr>
      <w:r w:rsidRPr="0042741B">
        <w:rPr>
          <w:sz w:val="22"/>
        </w:rPr>
        <w:t>Penelitian ini menggunakan 18 ekor tikus berumur 2-3 bulan dengan berat 150-250 gram yang dibagi menjadi 3 kelompo</w:t>
      </w:r>
      <w:r w:rsidRPr="00C97C0C">
        <w:rPr>
          <w:sz w:val="22"/>
        </w:rPr>
        <w:t xml:space="preserve">k yaitu kelompok kontrol negatif, kontrol positif, dan perlakuan. </w:t>
      </w:r>
      <w:r w:rsidRPr="0042741B">
        <w:rPr>
          <w:sz w:val="22"/>
        </w:rPr>
        <w:t xml:space="preserve">Kelompok kontrol negatif diberi pakan standar, kelompok kontrol positif diberi pakan standar dan diinduksi kafein 27 mg/200 gBB, dan kelompok perlakuan diberi pakan standar, diinduksi kafein, serta </w:t>
      </w:r>
      <w:r w:rsidR="001E0162" w:rsidRPr="0042741B">
        <w:rPr>
          <w:sz w:val="22"/>
        </w:rPr>
        <w:t xml:space="preserve">diintervensi minuman sinom. </w:t>
      </w:r>
      <w:r w:rsidRPr="00C97C0C">
        <w:rPr>
          <w:sz w:val="22"/>
        </w:rPr>
        <w:t>Penelitian dimulai dengan masa adaptasi tikus selama 14 hari agar selama penelitian tikus dapat menyesuaikan diri dengan lingkungannya</w:t>
      </w:r>
      <w:r w:rsidR="00A72111" w:rsidRPr="00A72111">
        <w:rPr>
          <w:sz w:val="22"/>
        </w:rPr>
        <w:t>.</w:t>
      </w:r>
      <w:r w:rsidR="00A72111">
        <w:rPr>
          <w:sz w:val="22"/>
        </w:rPr>
        <w:fldChar w:fldCharType="begin" w:fldLock="1"/>
      </w:r>
      <w:r w:rsidR="00650E80">
        <w:rPr>
          <w:sz w:val="22"/>
        </w:rPr>
        <w:instrText>ADDIN CSL_CITATION {"citationItems":[{"id":"ITEM-1","itemData":{"ISBN":"1113310200004","author":[{"dropping-particle":"","family":"Rahmi","given":"Yuni","non-dropping-particle":"","parse-names":false,"suffix":""}],"container-title":"Universitas Islam Negeri Syarif Hidayatullah","id":"ITEM-1","issue":"September","issued":{"date-parts":[["2017"]]},"publisher":"Universitas Islam Negeri Syarif Hidayatullah","title":"Uji Antihiperurisemia Kombinasi Ekstrak Etanol 70% Daun Sidaguri (Sida rhombifolia L) Dan Allopurinol Terhadap Tikus Sprague-Dawley Yang Diinduksi Kafein","type":"thesis"},"uris":["http://www.mendeley.com/documents/?uuid=d241b1f4-f73b-46d8-8b11-8134bee77908"]}],"mendeley":{"formattedCitation":"&lt;sup&gt;13&lt;/sup&gt;","plainTextFormattedCitation":"13","previouslyFormattedCitation":"&lt;sup&gt;13&lt;/sup&gt;"},"properties":{"noteIndex":0},"schema":"https://github.com/citation-style-language/schema/raw/master/csl-citation.json"}</w:instrText>
      </w:r>
      <w:r w:rsidR="00A72111">
        <w:rPr>
          <w:sz w:val="22"/>
        </w:rPr>
        <w:fldChar w:fldCharType="separate"/>
      </w:r>
      <w:r w:rsidR="004E5F0B" w:rsidRPr="004E5F0B">
        <w:rPr>
          <w:noProof/>
          <w:sz w:val="22"/>
          <w:vertAlign w:val="superscript"/>
        </w:rPr>
        <w:t>13</w:t>
      </w:r>
      <w:r w:rsidR="00A72111">
        <w:rPr>
          <w:sz w:val="22"/>
        </w:rPr>
        <w:fldChar w:fldCharType="end"/>
      </w:r>
      <w:r w:rsidR="0052676C">
        <w:rPr>
          <w:sz w:val="22"/>
        </w:rPr>
        <w:t xml:space="preserve"> </w:t>
      </w:r>
      <w:r w:rsidRPr="00C97C0C">
        <w:rPr>
          <w:sz w:val="22"/>
        </w:rPr>
        <w:t>Ketika masa adaptasi tikus diberi pakan standar berupa pelet Rat Bio sebanyak 20 gram/ekor/hari dan air minum secara ad libi</w:t>
      </w:r>
      <w:r>
        <w:rPr>
          <w:sz w:val="22"/>
        </w:rPr>
        <w:t>dum. Se</w:t>
      </w:r>
      <w:r w:rsidRPr="0042741B">
        <w:rPr>
          <w:sz w:val="22"/>
        </w:rPr>
        <w:t>lanjutnya tikus</w:t>
      </w:r>
      <w:r w:rsidRPr="00C97C0C">
        <w:rPr>
          <w:sz w:val="22"/>
        </w:rPr>
        <w:t xml:space="preserve"> dipuasakan selama ± 12 jam untuk diambil darah (T0). Pengambilan sampel darah bertujuan untuk mengetahui kadar asam urat tikus sebelum diinduksi dalam kondisi normal. </w:t>
      </w:r>
    </w:p>
    <w:p w14:paraId="497B6AB0" w14:textId="77777777" w:rsidR="00E7102E" w:rsidRPr="0042741B" w:rsidRDefault="001E0162" w:rsidP="00394926">
      <w:pPr>
        <w:pStyle w:val="ListParagraph"/>
        <w:spacing w:after="0" w:line="276" w:lineRule="auto"/>
        <w:ind w:left="0" w:firstLine="567"/>
        <w:rPr>
          <w:sz w:val="22"/>
        </w:rPr>
      </w:pPr>
      <w:r>
        <w:rPr>
          <w:sz w:val="22"/>
        </w:rPr>
        <w:lastRenderedPageBreak/>
        <w:t>Tahap</w:t>
      </w:r>
      <w:r w:rsidRPr="0042741B">
        <w:rPr>
          <w:sz w:val="22"/>
        </w:rPr>
        <w:t xml:space="preserve"> </w:t>
      </w:r>
      <w:r w:rsidR="00C97C0C" w:rsidRPr="00C97C0C">
        <w:rPr>
          <w:sz w:val="22"/>
        </w:rPr>
        <w:t>sela</w:t>
      </w:r>
      <w:r w:rsidR="00D2489A">
        <w:rPr>
          <w:sz w:val="22"/>
        </w:rPr>
        <w:t>njutnya yaitu masa induksi</w:t>
      </w:r>
      <w:r w:rsidR="00C97C0C" w:rsidRPr="00C97C0C">
        <w:rPr>
          <w:sz w:val="22"/>
        </w:rPr>
        <w:t>. Pada masa ini semua kelompok tikus tetap diberikan pakan standar Rat Bio dan air minum ad libidum. Pada kelompok kontrol positif dan kelompok perlakuan diinduksi kafein dengan dosis 27 mg/200 gBB secara sonde. Masa induksi dilakukan selama 12 h</w:t>
      </w:r>
      <w:r>
        <w:rPr>
          <w:sz w:val="22"/>
        </w:rPr>
        <w:t>ari</w:t>
      </w:r>
      <w:r w:rsidR="00C97C0C" w:rsidRPr="00C97C0C">
        <w:rPr>
          <w:sz w:val="22"/>
        </w:rPr>
        <w:t>. Setelah masa induksi tikus dipuasakan selama ± 12 jam untuk diambil darah (pretest). Pengambilan sampel darah bertujuan untuk mengetahui kadar asam urat tikus dalam kondisi hiperurisemia. Setelah masa induksi kemudian memasuki masa intervensi. Pada masa ini semua kelompok tikus tetap diberikan pakan standar Rat Bio dan air minum ad libidum. Selain itu, kelompok kontrol positif dan kelompok perlakuan juga tetap diinduksi dengan kafein. Pada kelompok perlakuan diintervensi dengan minuman sinom sebanyak 6 ml/200 gBB/hari yang diberikan dua kali dalam sehari dengan setiap pemberiannya sebanyak 3 ml/200 gBB secara sonde. Masa intervensi dil</w:t>
      </w:r>
      <w:r>
        <w:rPr>
          <w:sz w:val="22"/>
        </w:rPr>
        <w:t>akukan selama 14 ha</w:t>
      </w:r>
      <w:r w:rsidRPr="0042741B">
        <w:rPr>
          <w:sz w:val="22"/>
        </w:rPr>
        <w:t>ri</w:t>
      </w:r>
      <w:r w:rsidR="00C97C0C" w:rsidRPr="00C97C0C">
        <w:rPr>
          <w:sz w:val="22"/>
        </w:rPr>
        <w:t>. Setelah masa intervensi tikus dipuasakan selama ± 12 jam untuk diambil darah (posttest). Pengambilan sampel darah bertujuan untuk mengetahui potensi minuman sinom terhadap perubahan kadar asam urat tikus.</w:t>
      </w:r>
      <w:r w:rsidR="00394926" w:rsidRPr="0042741B">
        <w:rPr>
          <w:sz w:val="22"/>
        </w:rPr>
        <w:t xml:space="preserve"> Darah diambil sebanyak ± </w:t>
      </w:r>
      <w:r w:rsidR="005E1ED3">
        <w:rPr>
          <w:sz w:val="22"/>
        </w:rPr>
        <w:t>2 ml melalui sinus orbital mata</w:t>
      </w:r>
      <w:r w:rsidR="00394926" w:rsidRPr="0042741B">
        <w:rPr>
          <w:sz w:val="22"/>
        </w:rPr>
        <w:t>.</w:t>
      </w:r>
      <w:r w:rsidR="005E1ED3">
        <w:rPr>
          <w:sz w:val="22"/>
        </w:rPr>
        <w:fldChar w:fldCharType="begin" w:fldLock="1"/>
      </w:r>
      <w:r w:rsidR="00650E80">
        <w:rPr>
          <w:sz w:val="22"/>
        </w:rPr>
        <w:instrText>ADDIN CSL_CITATION {"citationItems":[{"id":"ITEM-1","itemData":{"author":[{"dropping-particle":"","family":"Kusumawati","given":"D.","non-dropping-particle":"","parse-names":false,"suffix":""}],"id":"ITEM-1","issued":{"date-parts":[["2016"]]},"publisher":"Gajah Mada University Press","publisher-place":"Yogyakarta","title":"Bersahabat dengan Hewan Coba","type":"book"},"uris":["http://www.mendeley.com/documents/?uuid=d0f75fd0-e2af-411c-ae7a-271dcd614c5c"]}],"mendeley":{"formattedCitation":"&lt;sup&gt;14&lt;/sup&gt;","plainTextFormattedCitation":"14","previouslyFormattedCitation":"&lt;sup&gt;14&lt;/sup&gt;"},"properties":{"noteIndex":0},"schema":"https://github.com/citation-style-language/schema/raw/master/csl-citation.json"}</w:instrText>
      </w:r>
      <w:r w:rsidR="005E1ED3">
        <w:rPr>
          <w:sz w:val="22"/>
        </w:rPr>
        <w:fldChar w:fldCharType="separate"/>
      </w:r>
      <w:r w:rsidR="004E5F0B" w:rsidRPr="004E5F0B">
        <w:rPr>
          <w:noProof/>
          <w:sz w:val="22"/>
          <w:vertAlign w:val="superscript"/>
        </w:rPr>
        <w:t>14</w:t>
      </w:r>
      <w:r w:rsidR="005E1ED3">
        <w:rPr>
          <w:sz w:val="22"/>
        </w:rPr>
        <w:fldChar w:fldCharType="end"/>
      </w:r>
      <w:r w:rsidR="00394926" w:rsidRPr="0042741B">
        <w:rPr>
          <w:sz w:val="22"/>
        </w:rPr>
        <w:t xml:space="preserve"> </w:t>
      </w:r>
      <w:r w:rsidR="00394926" w:rsidRPr="002E1594">
        <w:rPr>
          <w:sz w:val="22"/>
        </w:rPr>
        <w:t>Pengu</w:t>
      </w:r>
      <w:r w:rsidR="00394926" w:rsidRPr="0042741B">
        <w:rPr>
          <w:sz w:val="22"/>
        </w:rPr>
        <w:t>kuran</w:t>
      </w:r>
      <w:r w:rsidR="00394926" w:rsidRPr="002E1594">
        <w:rPr>
          <w:sz w:val="22"/>
        </w:rPr>
        <w:t xml:space="preserve"> kadar asam urat menggunakan metode k</w:t>
      </w:r>
      <w:r w:rsidR="00046C9C" w:rsidRPr="002E1594">
        <w:rPr>
          <w:sz w:val="22"/>
        </w:rPr>
        <w:t xml:space="preserve">olorimetri enzimatik </w:t>
      </w:r>
      <w:r w:rsidR="00046C9C" w:rsidRPr="0042741B">
        <w:rPr>
          <w:sz w:val="22"/>
        </w:rPr>
        <w:t>dengan</w:t>
      </w:r>
      <w:r w:rsidR="00394926" w:rsidRPr="002E1594">
        <w:rPr>
          <w:sz w:val="22"/>
        </w:rPr>
        <w:t xml:space="preserve"> pereaksi untuk asam </w:t>
      </w:r>
      <w:r w:rsidR="00046C9C" w:rsidRPr="002E1594">
        <w:rPr>
          <w:sz w:val="22"/>
        </w:rPr>
        <w:t>urat</w:t>
      </w:r>
      <w:r w:rsidR="00046C9C" w:rsidRPr="005E1ED3">
        <w:rPr>
          <w:sz w:val="22"/>
        </w:rPr>
        <w:t>.</w:t>
      </w:r>
      <w:r w:rsidR="005E1ED3" w:rsidRPr="005E1ED3">
        <w:rPr>
          <w:sz w:val="22"/>
        </w:rPr>
        <w:fldChar w:fldCharType="begin" w:fldLock="1"/>
      </w:r>
      <w:r w:rsidR="00650E80">
        <w:rPr>
          <w:sz w:val="22"/>
        </w:rPr>
        <w:instrText>ADDIN CSL_CITATION {"citationItems":[{"id":"ITEM-1","itemData":{"ISBN":"1113310200004","author":[{"dropping-particle":"","family":"Rahmi","given":"Yuni","non-dropping-particle":"","parse-names":false,"suffix":""}],"container-title":"Universitas Islam Negeri Syarif Hidayatullah","id":"ITEM-1","issue":"September","issued":{"date-parts":[["2017"]]},"publisher":"Universitas Islam Negeri Syarif Hidayatullah","title":"Uji Antihiperurisemia Kombinasi Ekstrak Etanol 70% Daun Sidaguri (Sida rhombifolia L) Dan Allopurinol Terhadap Tikus Sprague-Dawley Yang Diinduksi Kafein","type":"thesis"},"uris":["http://www.mendeley.com/documents/?uuid=d241b1f4-f73b-46d8-8b11-8134bee77908"]}],"mendeley":{"formattedCitation":"&lt;sup&gt;13&lt;/sup&gt;","plainTextFormattedCitation":"13","previouslyFormattedCitation":"&lt;sup&gt;13&lt;/sup&gt;"},"properties":{"noteIndex":0},"schema":"https://github.com/citation-style-language/schema/raw/master/csl-citation.json"}</w:instrText>
      </w:r>
      <w:r w:rsidR="005E1ED3" w:rsidRPr="005E1ED3">
        <w:rPr>
          <w:sz w:val="22"/>
        </w:rPr>
        <w:fldChar w:fldCharType="separate"/>
      </w:r>
      <w:r w:rsidR="004E5F0B" w:rsidRPr="004E5F0B">
        <w:rPr>
          <w:noProof/>
          <w:sz w:val="22"/>
          <w:vertAlign w:val="superscript"/>
        </w:rPr>
        <w:t>13</w:t>
      </w:r>
      <w:r w:rsidR="005E1ED3" w:rsidRPr="005E1ED3">
        <w:rPr>
          <w:sz w:val="22"/>
        </w:rPr>
        <w:fldChar w:fldCharType="end"/>
      </w:r>
    </w:p>
    <w:p w14:paraId="1EB8C478" w14:textId="77777777" w:rsidR="00E7102E" w:rsidRPr="005E1ED3" w:rsidRDefault="00E7102E" w:rsidP="00E7102E">
      <w:pPr>
        <w:pStyle w:val="ListParagraph"/>
        <w:spacing w:after="0" w:line="276" w:lineRule="auto"/>
        <w:ind w:left="0" w:firstLine="567"/>
        <w:rPr>
          <w:sz w:val="22"/>
          <w:lang w:val="en-US"/>
        </w:rPr>
      </w:pPr>
      <w:r w:rsidRPr="00E7102E">
        <w:rPr>
          <w:bCs/>
          <w:sz w:val="22"/>
        </w:rPr>
        <w:t xml:space="preserve">Data yang diperoleh dari penelitian ini yaitu rasio. Data dianalisis dengan </w:t>
      </w:r>
      <w:r w:rsidRPr="00E7102E">
        <w:rPr>
          <w:bCs/>
          <w:i/>
          <w:sz w:val="22"/>
          <w:lang w:val="en-GB"/>
        </w:rPr>
        <w:t>SPSS</w:t>
      </w:r>
      <w:r>
        <w:rPr>
          <w:bCs/>
          <w:sz w:val="22"/>
          <w:lang w:val="en-GB"/>
        </w:rPr>
        <w:t xml:space="preserve"> </w:t>
      </w:r>
      <w:r w:rsidRPr="00E7102E">
        <w:rPr>
          <w:bCs/>
          <w:sz w:val="22"/>
        </w:rPr>
        <w:t>16</w:t>
      </w:r>
      <w:r>
        <w:rPr>
          <w:bCs/>
          <w:sz w:val="22"/>
          <w:lang w:val="en-GB"/>
        </w:rPr>
        <w:t>.0.</w:t>
      </w:r>
      <w:r w:rsidRPr="00E7102E">
        <w:rPr>
          <w:bCs/>
          <w:sz w:val="22"/>
        </w:rPr>
        <w:t xml:space="preserve"> menggunakan uji normalitas. Jika data berdistribusi normal maka dilanjutkan dengan uji </w:t>
      </w:r>
      <w:r>
        <w:rPr>
          <w:bCs/>
          <w:i/>
          <w:sz w:val="22"/>
        </w:rPr>
        <w:t>One Way Annova</w:t>
      </w:r>
      <w:r w:rsidRPr="00E7102E">
        <w:rPr>
          <w:sz w:val="22"/>
        </w:rPr>
        <w:t xml:space="preserve">. Apabila ada perbedaan yang signifikan maka dilanjutkan dengan uji </w:t>
      </w:r>
      <w:r w:rsidRPr="00E7102E">
        <w:rPr>
          <w:i/>
          <w:sz w:val="22"/>
        </w:rPr>
        <w:t>Post Hoc</w:t>
      </w:r>
      <w:r w:rsidRPr="00E7102E">
        <w:rPr>
          <w:sz w:val="22"/>
        </w:rPr>
        <w:t xml:space="preserve">. Jika data berdistribus tidak normal maka dilanjutkan menggunakan uji </w:t>
      </w:r>
      <w:r>
        <w:rPr>
          <w:i/>
          <w:sz w:val="22"/>
        </w:rPr>
        <w:t>Kruskall-Wallis</w:t>
      </w:r>
      <w:r w:rsidR="009C11AC">
        <w:rPr>
          <w:i/>
          <w:sz w:val="22"/>
        </w:rPr>
        <w:t>.</w:t>
      </w:r>
      <w:r w:rsidR="009C11AC">
        <w:rPr>
          <w:sz w:val="22"/>
          <w:lang w:val="en-US"/>
        </w:rPr>
        <w:fldChar w:fldCharType="begin" w:fldLock="1"/>
      </w:r>
      <w:r w:rsidR="00650E80">
        <w:rPr>
          <w:sz w:val="22"/>
        </w:rPr>
        <w:instrText>ADDIN CSL_CITATION {"citationItems":[{"id":"ITEM-1","itemData":{"author":[{"dropping-particle":"","family":"Dahlan","given":"M.","non-dropping-particle":"","parse-names":false,"suffix":""}],"edition":"5","id":"ITEM-1","issued":{"date-parts":[["2011"]]},"publisher":"Salemba Medika","publisher-place":"Jakarta","title":"Statistik untuk Kedokteran dan Kesehatan","type":"book"},"uris":["http://www.mendeley.com/documents/?uuid=5a888225-6f34-4b6b-bd1b-641d580cb7a1"]}],"mendeley":{"formattedCitation":"&lt;sup&gt;15&lt;/sup&gt;","plainTextFormattedCitation":"15","previouslyFormattedCitation":"&lt;sup&gt;15&lt;/sup&gt;"},"properties":{"noteIndex":0},"schema":"https://github.com/citation-style-language/schema/raw/master/csl-citation.json"}</w:instrText>
      </w:r>
      <w:r w:rsidR="009C11AC">
        <w:rPr>
          <w:sz w:val="22"/>
          <w:lang w:val="en-US"/>
        </w:rPr>
        <w:fldChar w:fldCharType="separate"/>
      </w:r>
      <w:r w:rsidR="004E5F0B" w:rsidRPr="004E5F0B">
        <w:rPr>
          <w:noProof/>
          <w:sz w:val="22"/>
          <w:vertAlign w:val="superscript"/>
          <w:lang w:val="en-US"/>
        </w:rPr>
        <w:t>15</w:t>
      </w:r>
      <w:r w:rsidR="009C11AC">
        <w:rPr>
          <w:sz w:val="22"/>
          <w:lang w:val="en-US"/>
        </w:rPr>
        <w:fldChar w:fldCharType="end"/>
      </w:r>
    </w:p>
    <w:p w14:paraId="315603F7" w14:textId="77777777" w:rsidR="001E0162" w:rsidRPr="0042741B" w:rsidRDefault="001E0162" w:rsidP="001E0162">
      <w:pPr>
        <w:spacing w:line="360" w:lineRule="auto"/>
        <w:rPr>
          <w:lang w:val="id-ID"/>
        </w:rPr>
      </w:pPr>
    </w:p>
    <w:p w14:paraId="4BE2E270" w14:textId="77777777" w:rsidR="00EF125C" w:rsidRPr="0048388F" w:rsidRDefault="008E0A7B" w:rsidP="007D13A2">
      <w:pPr>
        <w:pStyle w:val="ListParagraph"/>
        <w:numPr>
          <w:ilvl w:val="0"/>
          <w:numId w:val="5"/>
        </w:numPr>
        <w:spacing w:after="0" w:line="276" w:lineRule="auto"/>
        <w:ind w:left="426" w:hanging="426"/>
        <w:rPr>
          <w:b/>
          <w:sz w:val="22"/>
        </w:rPr>
      </w:pPr>
      <w:r w:rsidRPr="0048388F">
        <w:rPr>
          <w:b/>
          <w:sz w:val="22"/>
        </w:rPr>
        <w:t>HASIL DAN PEMBAHASAN</w:t>
      </w:r>
    </w:p>
    <w:p w14:paraId="5A15B602" w14:textId="77777777" w:rsidR="003A598B" w:rsidRPr="003A598B" w:rsidRDefault="003A598B" w:rsidP="0067224F">
      <w:pPr>
        <w:spacing w:line="276" w:lineRule="auto"/>
        <w:rPr>
          <w:b/>
          <w:lang w:val="id-ID"/>
        </w:rPr>
      </w:pPr>
      <w:r w:rsidRPr="003A598B">
        <w:rPr>
          <w:b/>
          <w:lang w:val="id-ID"/>
        </w:rPr>
        <w:t>Analisis Kadar Asam Urat Awal (T0)</w:t>
      </w:r>
    </w:p>
    <w:p w14:paraId="0DF443F8" w14:textId="14E54F4A" w:rsidR="00876F62" w:rsidRPr="008A1054" w:rsidRDefault="002E1594" w:rsidP="00DC2B45">
      <w:pPr>
        <w:spacing w:line="276" w:lineRule="auto"/>
        <w:ind w:firstLine="567"/>
      </w:pPr>
      <w:r w:rsidRPr="0042741B">
        <w:rPr>
          <w:lang w:val="id-ID"/>
        </w:rPr>
        <w:t xml:space="preserve">Analisis kadar asam urat awal (T0) bertujuan untuk menganalisis perbedaan kadar asam urat antar kelompok sebelum </w:t>
      </w:r>
      <w:r w:rsidR="00DC2B45" w:rsidRPr="0042741B">
        <w:rPr>
          <w:lang w:val="id-ID"/>
        </w:rPr>
        <w:t xml:space="preserve">dilakukan penelitian lebih lanjut serta untuk memastikan bahwa tikus yang akan diuji dalam keadaan tidak sakit. </w:t>
      </w:r>
      <w:r w:rsidR="00F904A9">
        <w:rPr>
          <w:lang w:val="id-ID"/>
        </w:rPr>
        <w:t xml:space="preserve">Hasil uji </w:t>
      </w:r>
      <w:r w:rsidR="00F904A9" w:rsidRPr="008E0A7B">
        <w:rPr>
          <w:lang w:val="id-ID"/>
        </w:rPr>
        <w:t>normalitas</w:t>
      </w:r>
      <w:r w:rsidR="00F904A9" w:rsidRPr="00F904A9">
        <w:rPr>
          <w:i/>
          <w:lang w:val="id-ID"/>
        </w:rPr>
        <w:t xml:space="preserve"> </w:t>
      </w:r>
      <w:r w:rsidR="00F904A9">
        <w:rPr>
          <w:lang w:val="id-ID"/>
        </w:rPr>
        <w:t>menunjukkan data berdistribusi tidak berditribusi normal, namun setelah diuji homogenitas data menunjukkan homoge</w:t>
      </w:r>
      <w:r w:rsidR="003F381C" w:rsidRPr="0042741B">
        <w:rPr>
          <w:lang w:val="id-ID"/>
        </w:rPr>
        <w:t>n</w:t>
      </w:r>
      <w:r w:rsidR="00F904A9">
        <w:rPr>
          <w:lang w:val="id-ID"/>
        </w:rPr>
        <w:t xml:space="preserve">. Maka dilanjutkan uji non-parametik menggunakan </w:t>
      </w:r>
      <w:r w:rsidR="00876F62">
        <w:rPr>
          <w:i/>
          <w:lang w:val="id-ID"/>
        </w:rPr>
        <w:t xml:space="preserve">Kruskal wallis </w:t>
      </w:r>
      <w:r w:rsidR="00876F62">
        <w:rPr>
          <w:lang w:val="id-ID"/>
        </w:rPr>
        <w:t xml:space="preserve">didapatkan nilai p = 0,744 (p &gt; 0,05) </w:t>
      </w:r>
      <w:r w:rsidR="000636BA">
        <w:rPr>
          <w:lang w:val="id-ID"/>
        </w:rPr>
        <w:t xml:space="preserve">dapat dilihat pada </w:t>
      </w:r>
      <w:proofErr w:type="spellStart"/>
      <w:r w:rsidR="00617FDD">
        <w:t>Tabel</w:t>
      </w:r>
      <w:proofErr w:type="spellEnd"/>
      <w:r w:rsidR="00617FDD">
        <w:t xml:space="preserve"> 1</w:t>
      </w:r>
      <w:r w:rsidR="008A1054">
        <w:t>.</w:t>
      </w:r>
    </w:p>
    <w:p w14:paraId="6EE04161" w14:textId="77777777" w:rsidR="003A598B" w:rsidRPr="003A598B" w:rsidRDefault="003A598B" w:rsidP="007D13A2">
      <w:pPr>
        <w:spacing w:line="276" w:lineRule="auto"/>
        <w:ind w:firstLine="567"/>
        <w:rPr>
          <w:lang w:val="id-ID"/>
        </w:rPr>
      </w:pPr>
    </w:p>
    <w:p w14:paraId="2C392099" w14:textId="77777777" w:rsidR="00876F62" w:rsidRPr="000636BA" w:rsidRDefault="00876F62" w:rsidP="0067224F">
      <w:pPr>
        <w:spacing w:line="276" w:lineRule="auto"/>
        <w:jc w:val="center"/>
        <w:rPr>
          <w:lang w:val="id-ID"/>
        </w:rPr>
      </w:pPr>
      <w:r w:rsidRPr="000636BA">
        <w:rPr>
          <w:lang w:val="id-ID"/>
        </w:rPr>
        <w:t>Tabel 1. Kadar Asam Urat Sebelum Induksi</w:t>
      </w: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2099"/>
        <w:gridCol w:w="3100"/>
        <w:gridCol w:w="1475"/>
        <w:gridCol w:w="1475"/>
        <w:gridCol w:w="1475"/>
      </w:tblGrid>
      <w:tr w:rsidR="00DD1614" w:rsidRPr="003A598B" w14:paraId="396C5024" w14:textId="77777777" w:rsidTr="00DD1614">
        <w:trPr>
          <w:trHeight w:val="328"/>
        </w:trPr>
        <w:tc>
          <w:tcPr>
            <w:tcW w:w="2099" w:type="dxa"/>
            <w:tcBorders>
              <w:top w:val="single" w:sz="4" w:space="0" w:color="auto"/>
              <w:left w:val="nil"/>
              <w:bottom w:val="single" w:sz="4" w:space="0" w:color="auto"/>
              <w:right w:val="nil"/>
            </w:tcBorders>
            <w:vAlign w:val="center"/>
            <w:hideMark/>
          </w:tcPr>
          <w:p w14:paraId="26A458E3" w14:textId="77777777" w:rsidR="00876F62" w:rsidRPr="003A598B" w:rsidRDefault="00876F62" w:rsidP="007D13A2">
            <w:pPr>
              <w:spacing w:line="276" w:lineRule="auto"/>
              <w:jc w:val="center"/>
              <w:rPr>
                <w:sz w:val="20"/>
                <w:lang w:val="id-ID"/>
              </w:rPr>
            </w:pPr>
            <w:proofErr w:type="spellStart"/>
            <w:r w:rsidRPr="003A598B">
              <w:rPr>
                <w:sz w:val="20"/>
              </w:rPr>
              <w:t>Kelompok</w:t>
            </w:r>
            <w:proofErr w:type="spellEnd"/>
          </w:p>
        </w:tc>
        <w:tc>
          <w:tcPr>
            <w:tcW w:w="3100" w:type="dxa"/>
            <w:tcBorders>
              <w:top w:val="single" w:sz="4" w:space="0" w:color="auto"/>
              <w:left w:val="nil"/>
              <w:bottom w:val="single" w:sz="4" w:space="0" w:color="auto"/>
              <w:right w:val="nil"/>
            </w:tcBorders>
            <w:vAlign w:val="center"/>
          </w:tcPr>
          <w:p w14:paraId="09F2C500" w14:textId="77777777" w:rsidR="00876F62" w:rsidRPr="003A598B" w:rsidRDefault="00876F62" w:rsidP="007D13A2">
            <w:pPr>
              <w:spacing w:line="276" w:lineRule="auto"/>
              <w:jc w:val="center"/>
              <w:rPr>
                <w:sz w:val="20"/>
                <w:lang w:val="id-ID"/>
              </w:rPr>
            </w:pPr>
            <w:r w:rsidRPr="003A598B">
              <w:rPr>
                <w:sz w:val="20"/>
                <w:lang w:val="id-ID"/>
              </w:rPr>
              <w:t>Median</w:t>
            </w:r>
            <w:r w:rsidR="003A598B">
              <w:rPr>
                <w:sz w:val="20"/>
                <w:lang w:val="id-ID"/>
              </w:rPr>
              <w:t xml:space="preserve"> </w:t>
            </w:r>
            <w:r w:rsidRPr="003A598B">
              <w:rPr>
                <w:sz w:val="20"/>
                <w:lang w:val="id-ID"/>
              </w:rPr>
              <w:t>(mg/dl)</w:t>
            </w:r>
          </w:p>
        </w:tc>
        <w:tc>
          <w:tcPr>
            <w:tcW w:w="1475" w:type="dxa"/>
            <w:tcBorders>
              <w:top w:val="single" w:sz="4" w:space="0" w:color="auto"/>
              <w:left w:val="nil"/>
              <w:bottom w:val="single" w:sz="4" w:space="0" w:color="auto"/>
              <w:right w:val="nil"/>
            </w:tcBorders>
            <w:vAlign w:val="center"/>
          </w:tcPr>
          <w:p w14:paraId="417C3DE2" w14:textId="77777777" w:rsidR="00876F62" w:rsidRPr="003A598B" w:rsidRDefault="00876F62" w:rsidP="007D13A2">
            <w:pPr>
              <w:spacing w:line="276" w:lineRule="auto"/>
              <w:jc w:val="center"/>
              <w:rPr>
                <w:sz w:val="20"/>
                <w:lang w:val="id-ID"/>
              </w:rPr>
            </w:pPr>
            <w:r w:rsidRPr="003A598B">
              <w:rPr>
                <w:sz w:val="20"/>
                <w:lang w:val="id-ID"/>
              </w:rPr>
              <w:t>Min</w:t>
            </w:r>
          </w:p>
        </w:tc>
        <w:tc>
          <w:tcPr>
            <w:tcW w:w="1475" w:type="dxa"/>
            <w:tcBorders>
              <w:top w:val="single" w:sz="4" w:space="0" w:color="auto"/>
              <w:left w:val="nil"/>
              <w:bottom w:val="single" w:sz="4" w:space="0" w:color="auto"/>
              <w:right w:val="nil"/>
            </w:tcBorders>
            <w:vAlign w:val="center"/>
          </w:tcPr>
          <w:p w14:paraId="565ED95F" w14:textId="77777777" w:rsidR="00876F62" w:rsidRPr="003A598B" w:rsidRDefault="00876F62" w:rsidP="007D13A2">
            <w:pPr>
              <w:spacing w:line="276" w:lineRule="auto"/>
              <w:jc w:val="center"/>
              <w:rPr>
                <w:sz w:val="20"/>
                <w:lang w:val="id-ID"/>
              </w:rPr>
            </w:pPr>
            <w:r w:rsidRPr="003A598B">
              <w:rPr>
                <w:sz w:val="20"/>
                <w:lang w:val="id-ID"/>
              </w:rPr>
              <w:t>Max</w:t>
            </w:r>
          </w:p>
        </w:tc>
        <w:tc>
          <w:tcPr>
            <w:tcW w:w="1475" w:type="dxa"/>
            <w:tcBorders>
              <w:top w:val="single" w:sz="4" w:space="0" w:color="auto"/>
              <w:left w:val="nil"/>
              <w:bottom w:val="single" w:sz="4" w:space="0" w:color="auto"/>
              <w:right w:val="nil"/>
            </w:tcBorders>
            <w:vAlign w:val="center"/>
            <w:hideMark/>
          </w:tcPr>
          <w:p w14:paraId="0FC5FC4A" w14:textId="77777777" w:rsidR="00876F62" w:rsidRPr="003A598B" w:rsidRDefault="00876F62" w:rsidP="007D13A2">
            <w:pPr>
              <w:spacing w:line="276" w:lineRule="auto"/>
              <w:jc w:val="center"/>
              <w:rPr>
                <w:sz w:val="20"/>
              </w:rPr>
            </w:pPr>
            <w:r w:rsidRPr="003A598B">
              <w:rPr>
                <w:sz w:val="20"/>
              </w:rPr>
              <w:t>P</w:t>
            </w:r>
          </w:p>
        </w:tc>
      </w:tr>
      <w:tr w:rsidR="00DD1614" w:rsidRPr="003A598B" w14:paraId="12649657" w14:textId="77777777" w:rsidTr="00DD1614">
        <w:trPr>
          <w:trHeight w:val="289"/>
        </w:trPr>
        <w:tc>
          <w:tcPr>
            <w:tcW w:w="2099" w:type="dxa"/>
            <w:tcBorders>
              <w:top w:val="single" w:sz="4" w:space="0" w:color="auto"/>
              <w:left w:val="nil"/>
              <w:bottom w:val="nil"/>
              <w:right w:val="nil"/>
            </w:tcBorders>
            <w:hideMark/>
          </w:tcPr>
          <w:p w14:paraId="0B4B43D5" w14:textId="77777777" w:rsidR="00876F62" w:rsidRPr="003A598B" w:rsidRDefault="00876F62" w:rsidP="007D13A2">
            <w:pPr>
              <w:spacing w:line="276" w:lineRule="auto"/>
              <w:rPr>
                <w:sz w:val="20"/>
              </w:rPr>
            </w:pPr>
            <w:r w:rsidRPr="003A598B">
              <w:rPr>
                <w:sz w:val="20"/>
              </w:rPr>
              <w:t>K (-)</w:t>
            </w:r>
          </w:p>
        </w:tc>
        <w:tc>
          <w:tcPr>
            <w:tcW w:w="3100" w:type="dxa"/>
            <w:tcBorders>
              <w:top w:val="single" w:sz="4" w:space="0" w:color="auto"/>
              <w:left w:val="nil"/>
              <w:bottom w:val="nil"/>
              <w:right w:val="nil"/>
            </w:tcBorders>
          </w:tcPr>
          <w:p w14:paraId="6175F22E" w14:textId="77777777" w:rsidR="00876F62" w:rsidRPr="003A598B" w:rsidRDefault="00876F62" w:rsidP="007D13A2">
            <w:pPr>
              <w:spacing w:line="276" w:lineRule="auto"/>
              <w:jc w:val="center"/>
              <w:rPr>
                <w:sz w:val="20"/>
                <w:lang w:val="id-ID"/>
              </w:rPr>
            </w:pPr>
            <w:r w:rsidRPr="003A598B">
              <w:rPr>
                <w:sz w:val="20"/>
                <w:lang w:val="id-ID"/>
              </w:rPr>
              <w:t>4,10</w:t>
            </w:r>
          </w:p>
        </w:tc>
        <w:tc>
          <w:tcPr>
            <w:tcW w:w="1475" w:type="dxa"/>
            <w:tcBorders>
              <w:top w:val="single" w:sz="4" w:space="0" w:color="auto"/>
              <w:left w:val="nil"/>
              <w:bottom w:val="nil"/>
              <w:right w:val="nil"/>
            </w:tcBorders>
          </w:tcPr>
          <w:p w14:paraId="04D8CA92" w14:textId="77777777" w:rsidR="00876F62" w:rsidRPr="003A598B" w:rsidRDefault="00876F62" w:rsidP="007D13A2">
            <w:pPr>
              <w:spacing w:line="276" w:lineRule="auto"/>
              <w:jc w:val="center"/>
              <w:rPr>
                <w:sz w:val="20"/>
                <w:lang w:val="id-ID"/>
              </w:rPr>
            </w:pPr>
            <w:r w:rsidRPr="003A598B">
              <w:rPr>
                <w:sz w:val="20"/>
                <w:lang w:val="id-ID"/>
              </w:rPr>
              <w:t>1,8</w:t>
            </w:r>
          </w:p>
        </w:tc>
        <w:tc>
          <w:tcPr>
            <w:tcW w:w="1475" w:type="dxa"/>
            <w:tcBorders>
              <w:top w:val="single" w:sz="4" w:space="0" w:color="auto"/>
              <w:left w:val="nil"/>
              <w:bottom w:val="nil"/>
              <w:right w:val="nil"/>
            </w:tcBorders>
          </w:tcPr>
          <w:p w14:paraId="0BE0002F" w14:textId="77777777" w:rsidR="00876F62" w:rsidRPr="003A598B" w:rsidRDefault="00876F62" w:rsidP="007D13A2">
            <w:pPr>
              <w:spacing w:line="276" w:lineRule="auto"/>
              <w:jc w:val="center"/>
              <w:rPr>
                <w:sz w:val="20"/>
                <w:lang w:val="id-ID"/>
              </w:rPr>
            </w:pPr>
            <w:r w:rsidRPr="003A598B">
              <w:rPr>
                <w:sz w:val="20"/>
                <w:lang w:val="id-ID"/>
              </w:rPr>
              <w:t>4,7</w:t>
            </w:r>
          </w:p>
        </w:tc>
        <w:tc>
          <w:tcPr>
            <w:tcW w:w="1475" w:type="dxa"/>
            <w:vMerge w:val="restart"/>
            <w:tcBorders>
              <w:top w:val="single" w:sz="4" w:space="0" w:color="auto"/>
              <w:left w:val="nil"/>
              <w:bottom w:val="single" w:sz="4" w:space="0" w:color="auto"/>
              <w:right w:val="nil"/>
            </w:tcBorders>
          </w:tcPr>
          <w:p w14:paraId="2B73C6F2" w14:textId="77777777" w:rsidR="00876F62" w:rsidRPr="003A598B" w:rsidRDefault="00876F62" w:rsidP="007D13A2">
            <w:pPr>
              <w:spacing w:line="276" w:lineRule="auto"/>
              <w:jc w:val="center"/>
              <w:rPr>
                <w:sz w:val="20"/>
              </w:rPr>
            </w:pPr>
          </w:p>
          <w:p w14:paraId="13A3EA6A" w14:textId="77777777" w:rsidR="00876F62" w:rsidRPr="003A598B" w:rsidRDefault="00876F62" w:rsidP="007D13A2">
            <w:pPr>
              <w:spacing w:line="276" w:lineRule="auto"/>
              <w:jc w:val="center"/>
              <w:rPr>
                <w:sz w:val="20"/>
                <w:lang w:val="id-ID"/>
              </w:rPr>
            </w:pPr>
            <w:r w:rsidRPr="003A598B">
              <w:rPr>
                <w:sz w:val="20"/>
              </w:rPr>
              <w:t>0</w:t>
            </w:r>
            <w:r w:rsidRPr="003A598B">
              <w:rPr>
                <w:sz w:val="20"/>
                <w:lang w:val="id-ID"/>
              </w:rPr>
              <w:t>,744</w:t>
            </w:r>
          </w:p>
        </w:tc>
      </w:tr>
      <w:tr w:rsidR="00DD1614" w:rsidRPr="003A598B" w14:paraId="65461C74" w14:textId="77777777" w:rsidTr="00DD1614">
        <w:trPr>
          <w:trHeight w:val="271"/>
        </w:trPr>
        <w:tc>
          <w:tcPr>
            <w:tcW w:w="2099" w:type="dxa"/>
            <w:tcBorders>
              <w:top w:val="nil"/>
              <w:left w:val="nil"/>
              <w:bottom w:val="nil"/>
              <w:right w:val="nil"/>
            </w:tcBorders>
            <w:hideMark/>
          </w:tcPr>
          <w:p w14:paraId="37E83311" w14:textId="77777777" w:rsidR="00876F62" w:rsidRPr="003A598B" w:rsidRDefault="00876F62" w:rsidP="007D13A2">
            <w:pPr>
              <w:spacing w:line="276" w:lineRule="auto"/>
              <w:jc w:val="left"/>
              <w:rPr>
                <w:sz w:val="20"/>
              </w:rPr>
            </w:pPr>
            <w:r w:rsidRPr="003A598B">
              <w:rPr>
                <w:sz w:val="20"/>
              </w:rPr>
              <w:t>K (+)</w:t>
            </w:r>
          </w:p>
        </w:tc>
        <w:tc>
          <w:tcPr>
            <w:tcW w:w="3100" w:type="dxa"/>
            <w:tcBorders>
              <w:top w:val="nil"/>
              <w:left w:val="nil"/>
              <w:bottom w:val="nil"/>
              <w:right w:val="nil"/>
            </w:tcBorders>
          </w:tcPr>
          <w:p w14:paraId="61FBD423" w14:textId="77777777" w:rsidR="00876F62" w:rsidRPr="003A598B" w:rsidRDefault="00876F62" w:rsidP="007D13A2">
            <w:pPr>
              <w:spacing w:line="276" w:lineRule="auto"/>
              <w:jc w:val="center"/>
              <w:rPr>
                <w:sz w:val="20"/>
                <w:lang w:val="id-ID"/>
              </w:rPr>
            </w:pPr>
            <w:r w:rsidRPr="003A598B">
              <w:rPr>
                <w:sz w:val="20"/>
                <w:lang w:val="id-ID"/>
              </w:rPr>
              <w:t>4,25</w:t>
            </w:r>
          </w:p>
        </w:tc>
        <w:tc>
          <w:tcPr>
            <w:tcW w:w="1475" w:type="dxa"/>
            <w:tcBorders>
              <w:top w:val="nil"/>
              <w:left w:val="nil"/>
              <w:bottom w:val="nil"/>
              <w:right w:val="nil"/>
            </w:tcBorders>
          </w:tcPr>
          <w:p w14:paraId="15062F10" w14:textId="77777777" w:rsidR="00876F62" w:rsidRPr="003A598B" w:rsidRDefault="00876F62" w:rsidP="007D13A2">
            <w:pPr>
              <w:spacing w:line="276" w:lineRule="auto"/>
              <w:jc w:val="center"/>
              <w:rPr>
                <w:sz w:val="20"/>
                <w:lang w:val="id-ID"/>
              </w:rPr>
            </w:pPr>
            <w:r w:rsidRPr="003A598B">
              <w:rPr>
                <w:sz w:val="20"/>
                <w:lang w:val="id-ID"/>
              </w:rPr>
              <w:t>2,1</w:t>
            </w:r>
          </w:p>
        </w:tc>
        <w:tc>
          <w:tcPr>
            <w:tcW w:w="1475" w:type="dxa"/>
            <w:tcBorders>
              <w:top w:val="nil"/>
              <w:left w:val="nil"/>
              <w:bottom w:val="nil"/>
              <w:right w:val="nil"/>
            </w:tcBorders>
          </w:tcPr>
          <w:p w14:paraId="29484551" w14:textId="77777777" w:rsidR="00876F62" w:rsidRPr="003A598B" w:rsidRDefault="00876F62" w:rsidP="007D13A2">
            <w:pPr>
              <w:spacing w:line="276" w:lineRule="auto"/>
              <w:jc w:val="center"/>
              <w:rPr>
                <w:sz w:val="20"/>
                <w:lang w:val="id-ID"/>
              </w:rPr>
            </w:pPr>
            <w:r w:rsidRPr="003A598B">
              <w:rPr>
                <w:sz w:val="20"/>
                <w:lang w:val="id-ID"/>
              </w:rPr>
              <w:t>4,8</w:t>
            </w:r>
          </w:p>
        </w:tc>
        <w:tc>
          <w:tcPr>
            <w:tcW w:w="1475" w:type="dxa"/>
            <w:vMerge/>
            <w:tcBorders>
              <w:top w:val="single" w:sz="4" w:space="0" w:color="auto"/>
              <w:left w:val="nil"/>
              <w:bottom w:val="single" w:sz="4" w:space="0" w:color="auto"/>
              <w:right w:val="nil"/>
            </w:tcBorders>
            <w:vAlign w:val="center"/>
            <w:hideMark/>
          </w:tcPr>
          <w:p w14:paraId="5497F95C" w14:textId="77777777" w:rsidR="00876F62" w:rsidRPr="003A598B" w:rsidRDefault="00876F62" w:rsidP="007D13A2">
            <w:pPr>
              <w:spacing w:line="276" w:lineRule="auto"/>
              <w:rPr>
                <w:sz w:val="20"/>
              </w:rPr>
            </w:pPr>
          </w:p>
        </w:tc>
      </w:tr>
      <w:tr w:rsidR="00DD1614" w:rsidRPr="003A598B" w14:paraId="6EBDBF4E" w14:textId="77777777" w:rsidTr="00DD1614">
        <w:trPr>
          <w:trHeight w:val="289"/>
        </w:trPr>
        <w:tc>
          <w:tcPr>
            <w:tcW w:w="2099" w:type="dxa"/>
            <w:tcBorders>
              <w:top w:val="nil"/>
              <w:left w:val="nil"/>
              <w:bottom w:val="single" w:sz="4" w:space="0" w:color="auto"/>
              <w:right w:val="nil"/>
            </w:tcBorders>
            <w:hideMark/>
          </w:tcPr>
          <w:p w14:paraId="4DBE8CC5" w14:textId="77777777" w:rsidR="00876F62" w:rsidRPr="003A598B" w:rsidRDefault="00876F62" w:rsidP="007D13A2">
            <w:pPr>
              <w:spacing w:line="276" w:lineRule="auto"/>
              <w:jc w:val="left"/>
              <w:rPr>
                <w:sz w:val="20"/>
              </w:rPr>
            </w:pPr>
            <w:r w:rsidRPr="003A598B">
              <w:rPr>
                <w:sz w:val="20"/>
              </w:rPr>
              <w:t>P</w:t>
            </w:r>
          </w:p>
        </w:tc>
        <w:tc>
          <w:tcPr>
            <w:tcW w:w="3100" w:type="dxa"/>
            <w:tcBorders>
              <w:top w:val="nil"/>
              <w:left w:val="nil"/>
              <w:bottom w:val="single" w:sz="4" w:space="0" w:color="auto"/>
              <w:right w:val="nil"/>
            </w:tcBorders>
          </w:tcPr>
          <w:p w14:paraId="222B3A5C" w14:textId="77777777" w:rsidR="00876F62" w:rsidRPr="003A598B" w:rsidRDefault="00876F62" w:rsidP="007D13A2">
            <w:pPr>
              <w:spacing w:line="276" w:lineRule="auto"/>
              <w:jc w:val="center"/>
              <w:rPr>
                <w:sz w:val="20"/>
                <w:lang w:val="id-ID"/>
              </w:rPr>
            </w:pPr>
            <w:r w:rsidRPr="003A598B">
              <w:rPr>
                <w:sz w:val="20"/>
                <w:lang w:val="id-ID"/>
              </w:rPr>
              <w:t>4,0</w:t>
            </w:r>
          </w:p>
        </w:tc>
        <w:tc>
          <w:tcPr>
            <w:tcW w:w="1475" w:type="dxa"/>
            <w:tcBorders>
              <w:top w:val="nil"/>
              <w:left w:val="nil"/>
              <w:bottom w:val="single" w:sz="4" w:space="0" w:color="auto"/>
              <w:right w:val="nil"/>
            </w:tcBorders>
          </w:tcPr>
          <w:p w14:paraId="6F6A9843" w14:textId="77777777" w:rsidR="00876F62" w:rsidRPr="003A598B" w:rsidRDefault="00876F62" w:rsidP="007D13A2">
            <w:pPr>
              <w:spacing w:line="276" w:lineRule="auto"/>
              <w:jc w:val="center"/>
              <w:rPr>
                <w:sz w:val="20"/>
                <w:lang w:val="id-ID"/>
              </w:rPr>
            </w:pPr>
            <w:r w:rsidRPr="003A598B">
              <w:rPr>
                <w:sz w:val="20"/>
                <w:lang w:val="id-ID"/>
              </w:rPr>
              <w:t>1,7</w:t>
            </w:r>
          </w:p>
        </w:tc>
        <w:tc>
          <w:tcPr>
            <w:tcW w:w="1475" w:type="dxa"/>
            <w:tcBorders>
              <w:top w:val="nil"/>
              <w:left w:val="nil"/>
              <w:bottom w:val="single" w:sz="4" w:space="0" w:color="auto"/>
              <w:right w:val="nil"/>
            </w:tcBorders>
          </w:tcPr>
          <w:p w14:paraId="67602F0F" w14:textId="77777777" w:rsidR="00876F62" w:rsidRPr="003A598B" w:rsidRDefault="00876F62" w:rsidP="007D13A2">
            <w:pPr>
              <w:spacing w:line="276" w:lineRule="auto"/>
              <w:jc w:val="center"/>
              <w:rPr>
                <w:sz w:val="20"/>
                <w:lang w:val="id-ID"/>
              </w:rPr>
            </w:pPr>
            <w:r w:rsidRPr="003A598B">
              <w:rPr>
                <w:sz w:val="20"/>
                <w:lang w:val="id-ID"/>
              </w:rPr>
              <w:t>4,6</w:t>
            </w:r>
          </w:p>
        </w:tc>
        <w:tc>
          <w:tcPr>
            <w:tcW w:w="1475" w:type="dxa"/>
            <w:vMerge/>
            <w:tcBorders>
              <w:top w:val="single" w:sz="4" w:space="0" w:color="auto"/>
              <w:left w:val="nil"/>
              <w:bottom w:val="single" w:sz="4" w:space="0" w:color="auto"/>
              <w:right w:val="nil"/>
            </w:tcBorders>
            <w:vAlign w:val="center"/>
            <w:hideMark/>
          </w:tcPr>
          <w:p w14:paraId="6FFA41DD" w14:textId="77777777" w:rsidR="00876F62" w:rsidRPr="003A598B" w:rsidRDefault="00876F62" w:rsidP="007D13A2">
            <w:pPr>
              <w:spacing w:line="276" w:lineRule="auto"/>
              <w:rPr>
                <w:sz w:val="20"/>
              </w:rPr>
            </w:pPr>
          </w:p>
        </w:tc>
      </w:tr>
    </w:tbl>
    <w:p w14:paraId="006115A4" w14:textId="77777777" w:rsidR="00E104AC" w:rsidRPr="0042741B" w:rsidRDefault="00E104AC" w:rsidP="00E104AC">
      <w:pPr>
        <w:spacing w:line="276" w:lineRule="auto"/>
        <w:rPr>
          <w:sz w:val="20"/>
          <w:lang w:val="nl-NL"/>
        </w:rPr>
      </w:pPr>
      <w:r>
        <w:rPr>
          <w:sz w:val="20"/>
          <w:lang w:val="id-ID"/>
        </w:rPr>
        <w:t xml:space="preserve">Keterangan: </w:t>
      </w:r>
      <w:r w:rsidRPr="0042741B">
        <w:rPr>
          <w:sz w:val="20"/>
          <w:lang w:val="nl-NL"/>
        </w:rPr>
        <w:t xml:space="preserve">Uji </w:t>
      </w:r>
      <w:r w:rsidRPr="0042741B">
        <w:rPr>
          <w:i/>
          <w:sz w:val="20"/>
          <w:lang w:val="nl-NL"/>
        </w:rPr>
        <w:t xml:space="preserve">Kruskal-Wallis </w:t>
      </w:r>
      <w:r w:rsidRPr="0042741B">
        <w:rPr>
          <w:sz w:val="20"/>
          <w:lang w:val="nl-NL"/>
        </w:rPr>
        <w:t xml:space="preserve">dengan p &lt; </w:t>
      </w:r>
      <w:r>
        <w:rPr>
          <w:sz w:val="20"/>
          <w:lang w:val="en-GB"/>
        </w:rPr>
        <w:t>α</w:t>
      </w:r>
      <w:r w:rsidRPr="0042741B">
        <w:rPr>
          <w:sz w:val="20"/>
          <w:lang w:val="nl-NL"/>
        </w:rPr>
        <w:t xml:space="preserve"> (</w:t>
      </w:r>
      <w:r>
        <w:rPr>
          <w:sz w:val="20"/>
          <w:lang w:val="en-GB"/>
        </w:rPr>
        <w:t>α</w:t>
      </w:r>
      <w:r w:rsidRPr="0042741B">
        <w:rPr>
          <w:sz w:val="20"/>
          <w:lang w:val="nl-NL"/>
        </w:rPr>
        <w:t xml:space="preserve"> = 0,05) menunjukkan signifikan</w:t>
      </w:r>
    </w:p>
    <w:p w14:paraId="23263B0A" w14:textId="77777777" w:rsidR="00876F62" w:rsidRDefault="00876F62" w:rsidP="007D13A2">
      <w:pPr>
        <w:spacing w:line="276" w:lineRule="auto"/>
        <w:rPr>
          <w:lang w:val="id-ID"/>
        </w:rPr>
      </w:pPr>
    </w:p>
    <w:p w14:paraId="0CB3AB41" w14:textId="77777777" w:rsidR="00062156" w:rsidRPr="0042741B" w:rsidRDefault="00876F62" w:rsidP="00823649">
      <w:pPr>
        <w:spacing w:line="276" w:lineRule="auto"/>
        <w:ind w:firstLine="567"/>
        <w:rPr>
          <w:lang w:val="id-ID"/>
        </w:rPr>
      </w:pPr>
      <w:r>
        <w:rPr>
          <w:lang w:val="id-ID"/>
        </w:rPr>
        <w:t xml:space="preserve">Berdasarkan Tabel 1 hasil uji </w:t>
      </w:r>
      <w:r>
        <w:rPr>
          <w:i/>
          <w:lang w:val="id-ID"/>
        </w:rPr>
        <w:t xml:space="preserve">Kruskal wallis </w:t>
      </w:r>
      <w:r>
        <w:rPr>
          <w:lang w:val="id-ID"/>
        </w:rPr>
        <w:t>menunjukkan bahwa tidak ada perbedaan yang signifikan dari kadar asam urat awal (T0) antar k</w:t>
      </w:r>
      <w:r w:rsidR="00CF7E15">
        <w:rPr>
          <w:lang w:val="id-ID"/>
        </w:rPr>
        <w:t>elompok dengan nilai p = 0,744</w:t>
      </w:r>
      <w:r w:rsidR="00062156">
        <w:rPr>
          <w:lang w:val="id-ID"/>
        </w:rPr>
        <w:t>. Kadar asam urat normal pada tiku</w:t>
      </w:r>
      <w:r w:rsidR="007D13A2">
        <w:rPr>
          <w:lang w:val="id-ID"/>
        </w:rPr>
        <w:t xml:space="preserve">s wistar jantan sebesar </w:t>
      </w:r>
      <w:r w:rsidR="002329EF">
        <w:rPr>
          <w:lang w:val="id-ID"/>
        </w:rPr>
        <w:t>≤ 4,37 mg/dl.</w:t>
      </w:r>
      <w:r w:rsidR="008C3FAA" w:rsidRPr="00D04037">
        <w:rPr>
          <w:lang w:val="id-ID"/>
        </w:rPr>
        <w:fldChar w:fldCharType="begin" w:fldLock="1"/>
      </w:r>
      <w:r w:rsidR="00650E80">
        <w:rPr>
          <w:lang w:val="id-ID"/>
        </w:rPr>
        <w:instrText>ADDIN CSL_CITATION {"citationItems":[{"id":"ITEM-1","itemData":{"abstract":"Leaves marigolds (Cosmos caudatus Kunth.) is a plant that has the effect of hipourikemia. It has substances that can reduce serum uric acid level. Leaves of marigolds (Cosmos caudatus Kunth.) Contains flavonoids, particularly quercetin. Flavonoids can act as reducing levels of uric acid by inhibiting the xanthine oxidase enzyme. Based on this mechanism, the leaves of marigolds thought to have an indication to reduce levels of uric acid in the blood.","author":[{"dropping-particle":"","family":"Santoso","given":"A. A.","non-dropping-particle":"","parse-names":false,"suffix":""}],"id":"ITEM-1","issued":{"date-parts":[["2012"]]},"page":"1-34","title":"Efek pemberian ekstrak methanol daun kenikir (Cosmos caudatus Kunth.) terhadap kadar asam urat tikus putih galur wistar hiperurisemia [skripsi]. Surakarta: UMS","type":"article-journal"},"uris":["http://www.mendeley.com/documents/?uuid=450bb5ff-b319-457b-8667-781eb60ad18b"]}],"mendeley":{"formattedCitation":"&lt;sup&gt;16&lt;/sup&gt;","plainTextFormattedCitation":"16","previouslyFormattedCitation":"&lt;sup&gt;16&lt;/sup&gt;"},"properties":{"noteIndex":0},"schema":"https://github.com/citation-style-language/schema/raw/master/csl-citation.json"}</w:instrText>
      </w:r>
      <w:r w:rsidR="008C3FAA" w:rsidRPr="00D04037">
        <w:rPr>
          <w:lang w:val="id-ID"/>
        </w:rPr>
        <w:fldChar w:fldCharType="separate"/>
      </w:r>
      <w:r w:rsidR="004E5F0B" w:rsidRPr="004E5F0B">
        <w:rPr>
          <w:noProof/>
          <w:vertAlign w:val="superscript"/>
          <w:lang w:val="id-ID"/>
        </w:rPr>
        <w:t>16</w:t>
      </w:r>
      <w:r w:rsidR="008C3FAA" w:rsidRPr="00D04037">
        <w:rPr>
          <w:lang w:val="id-ID"/>
        </w:rPr>
        <w:fldChar w:fldCharType="end"/>
      </w:r>
      <w:r w:rsidR="003F381C" w:rsidRPr="0042741B">
        <w:rPr>
          <w:lang w:val="id-ID"/>
        </w:rPr>
        <w:t xml:space="preserve"> </w:t>
      </w:r>
      <w:r w:rsidR="00CF7E15" w:rsidRPr="0042741B">
        <w:rPr>
          <w:lang w:val="id-ID"/>
        </w:rPr>
        <w:t>Maka dapat dikatakan bahwa tikus yang akan digunakan untuk penelitian dalam keadaan tidak sakit atau memiliki kadar asam urat normal.</w:t>
      </w:r>
    </w:p>
    <w:p w14:paraId="63BD8E10" w14:textId="77777777" w:rsidR="00823649" w:rsidRPr="00823649" w:rsidRDefault="00823649" w:rsidP="00823649">
      <w:pPr>
        <w:spacing w:line="276" w:lineRule="auto"/>
        <w:ind w:firstLine="567"/>
        <w:rPr>
          <w:lang w:val="id-ID"/>
        </w:rPr>
      </w:pPr>
    </w:p>
    <w:p w14:paraId="79FFF784" w14:textId="77777777" w:rsidR="00DD1614" w:rsidRPr="00DD1614" w:rsidRDefault="00DD1614" w:rsidP="0067224F">
      <w:pPr>
        <w:spacing w:line="276" w:lineRule="auto"/>
        <w:rPr>
          <w:b/>
          <w:lang w:val="id-ID"/>
        </w:rPr>
      </w:pPr>
      <w:r w:rsidRPr="00DD1614">
        <w:rPr>
          <w:b/>
          <w:lang w:val="id-ID"/>
        </w:rPr>
        <w:t>Analisis Kadar Asam Urat Sebelum Perlakuan (</w:t>
      </w:r>
      <w:r w:rsidRPr="00DD1614">
        <w:rPr>
          <w:b/>
          <w:i/>
          <w:lang w:val="id-ID"/>
        </w:rPr>
        <w:t>Pretest</w:t>
      </w:r>
      <w:r w:rsidRPr="00DD1614">
        <w:rPr>
          <w:b/>
          <w:lang w:val="id-ID"/>
        </w:rPr>
        <w:t>)</w:t>
      </w:r>
    </w:p>
    <w:p w14:paraId="6BC77EE2" w14:textId="37CE5A71" w:rsidR="00624F9E" w:rsidRDefault="00F73C2A" w:rsidP="0049742B">
      <w:pPr>
        <w:spacing w:line="276" w:lineRule="auto"/>
        <w:ind w:firstLine="567"/>
      </w:pPr>
      <w:r w:rsidRPr="0042741B">
        <w:rPr>
          <w:lang w:val="id-ID"/>
        </w:rPr>
        <w:t xml:space="preserve">Analisis kadar asam urat </w:t>
      </w:r>
      <w:r w:rsidRPr="0042741B">
        <w:rPr>
          <w:i/>
          <w:lang w:val="id-ID"/>
        </w:rPr>
        <w:t xml:space="preserve">pretest </w:t>
      </w:r>
      <w:r w:rsidRPr="0042741B">
        <w:rPr>
          <w:lang w:val="id-ID"/>
        </w:rPr>
        <w:t>bertujuan untuk menganalisis perbedaan kadar asam urat antar k</w:t>
      </w:r>
      <w:r w:rsidR="00074A25" w:rsidRPr="0042741B">
        <w:rPr>
          <w:lang w:val="id-ID"/>
        </w:rPr>
        <w:t>elompok setelah masa induksi serta untuk memastikan bahwa sampel pada kelompok kontrol positif dan perlakuan sudah dalam keadaan hiperurisemia.</w:t>
      </w:r>
      <w:r w:rsidRPr="0042741B">
        <w:rPr>
          <w:lang w:val="id-ID"/>
        </w:rPr>
        <w:t xml:space="preserve"> </w:t>
      </w:r>
      <w:r w:rsidR="000636BA">
        <w:rPr>
          <w:lang w:val="id-ID"/>
        </w:rPr>
        <w:t xml:space="preserve">Hasil uji normalitas dan homogenitas menunjukkan data berdistribusi normal dan homogen dengan nilai p &gt; 0,05. Kemudian dilanjutkan dengan uji </w:t>
      </w:r>
      <w:r w:rsidR="000636BA">
        <w:rPr>
          <w:i/>
          <w:lang w:val="id-ID"/>
        </w:rPr>
        <w:t xml:space="preserve">One Way Anova </w:t>
      </w:r>
      <w:r w:rsidR="000636BA">
        <w:rPr>
          <w:lang w:val="id-ID"/>
        </w:rPr>
        <w:t xml:space="preserve">dan uji </w:t>
      </w:r>
      <w:r w:rsidR="000636BA">
        <w:rPr>
          <w:i/>
          <w:lang w:val="id-ID"/>
        </w:rPr>
        <w:t xml:space="preserve">Post Hoc </w:t>
      </w:r>
      <w:r w:rsidR="000636BA">
        <w:rPr>
          <w:lang w:val="id-ID"/>
        </w:rPr>
        <w:t xml:space="preserve">yang dapat dilihat pada </w:t>
      </w:r>
      <w:proofErr w:type="spellStart"/>
      <w:r w:rsidR="00617FDD">
        <w:t>Tabel</w:t>
      </w:r>
      <w:proofErr w:type="spellEnd"/>
      <w:r w:rsidR="00617FDD">
        <w:t xml:space="preserve"> 2</w:t>
      </w:r>
      <w:r w:rsidR="008A1054">
        <w:t>.</w:t>
      </w:r>
    </w:p>
    <w:p w14:paraId="02706B75" w14:textId="2DD72924" w:rsidR="008A1054" w:rsidRPr="008A1054" w:rsidRDefault="008A1054" w:rsidP="0049742B">
      <w:pPr>
        <w:spacing w:line="276" w:lineRule="auto"/>
        <w:ind w:firstLine="567"/>
      </w:pPr>
      <w:r>
        <w:rPr>
          <w:lang w:val="id-ID"/>
        </w:rPr>
        <w:t xml:space="preserve">Berdasarkan Tabel 2 </w:t>
      </w:r>
      <w:r w:rsidRPr="00C74B83">
        <w:rPr>
          <w:szCs w:val="24"/>
          <w:lang w:val="id-ID"/>
        </w:rPr>
        <w:t xml:space="preserve">hasil uji </w:t>
      </w:r>
      <w:r w:rsidRPr="00C74B83">
        <w:rPr>
          <w:i/>
          <w:szCs w:val="24"/>
          <w:lang w:val="id-ID"/>
        </w:rPr>
        <w:t>One Way Anova</w:t>
      </w:r>
      <w:r w:rsidRPr="00C74B83">
        <w:rPr>
          <w:szCs w:val="24"/>
          <w:lang w:val="id-ID"/>
        </w:rPr>
        <w:t xml:space="preserve"> didapatkan nilai signifikansi p = 0,000 (p &lt; 0,05) yang berarti terdapat perbedaan kadar asam urat yang signifikan antara ketiga kelompok sebelum pemberian minuman Sinom</w:t>
      </w:r>
      <w:r>
        <w:rPr>
          <w:szCs w:val="24"/>
          <w:lang w:val="id-ID"/>
        </w:rPr>
        <w:t xml:space="preserve">. Berdasarkan hasil uji </w:t>
      </w:r>
      <w:r>
        <w:rPr>
          <w:i/>
          <w:lang w:val="id-ID"/>
        </w:rPr>
        <w:t xml:space="preserve">Post Hoc </w:t>
      </w:r>
      <w:r>
        <w:rPr>
          <w:lang w:val="id-ID"/>
        </w:rPr>
        <w:t xml:space="preserve">dapat diketahui bahwa kelompok yang mengalami perbedaan bermakna yaitu kelompok K(-) dengan K(+) dan K(-) dengan P, sedangkan kelompok (K+) </w:t>
      </w:r>
      <w:r>
        <w:rPr>
          <w:lang w:val="id-ID"/>
        </w:rPr>
        <w:lastRenderedPageBreak/>
        <w:t xml:space="preserve">dengan P tidak ada perbedaan. Hal ini disebabkan karena </w:t>
      </w:r>
      <w:r w:rsidRPr="00C74B83">
        <w:rPr>
          <w:szCs w:val="24"/>
          <w:lang w:val="id-ID"/>
        </w:rPr>
        <w:t>karena kelompok kontrol positif dan kelompok perlakuan diinduksi kafein, sedangkan kelompok kontrol negatif tidak diinduksi kafein.</w:t>
      </w:r>
    </w:p>
    <w:p w14:paraId="5F5B8EB9" w14:textId="77777777" w:rsidR="00624F9E" w:rsidRPr="0042741B" w:rsidRDefault="00624F9E" w:rsidP="00624F9E">
      <w:pPr>
        <w:spacing w:line="276" w:lineRule="auto"/>
        <w:ind w:firstLine="567"/>
        <w:rPr>
          <w:lang w:val="id-ID"/>
        </w:rPr>
      </w:pPr>
    </w:p>
    <w:p w14:paraId="567F3B54" w14:textId="3CFDE9F2" w:rsidR="000636BA" w:rsidRDefault="000636BA" w:rsidP="0067224F">
      <w:pPr>
        <w:spacing w:line="276" w:lineRule="auto"/>
        <w:jc w:val="center"/>
        <w:rPr>
          <w:lang w:val="id-ID"/>
        </w:rPr>
      </w:pPr>
      <w:r>
        <w:rPr>
          <w:lang w:val="id-ID"/>
        </w:rPr>
        <w:t xml:space="preserve">Tabel 2. Analisis Data Kadar Asam Urat </w:t>
      </w:r>
      <w:r>
        <w:rPr>
          <w:i/>
          <w:lang w:val="id-ID"/>
        </w:rPr>
        <w:t xml:space="preserve">Pretest </w:t>
      </w:r>
      <w:r w:rsidR="00EF00A3">
        <w:t>A</w:t>
      </w:r>
      <w:r>
        <w:rPr>
          <w:lang w:val="id-ID"/>
        </w:rPr>
        <w:t>ntar Kelompok</w:t>
      </w: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2127"/>
        <w:gridCol w:w="4536"/>
        <w:gridCol w:w="2964"/>
      </w:tblGrid>
      <w:tr w:rsidR="000636BA" w:rsidRPr="00E06E58" w14:paraId="0075EB89" w14:textId="77777777" w:rsidTr="00E06E58">
        <w:trPr>
          <w:trHeight w:val="350"/>
        </w:trPr>
        <w:tc>
          <w:tcPr>
            <w:tcW w:w="2127" w:type="dxa"/>
            <w:tcBorders>
              <w:top w:val="single" w:sz="4" w:space="0" w:color="auto"/>
              <w:left w:val="nil"/>
              <w:bottom w:val="single" w:sz="4" w:space="0" w:color="auto"/>
              <w:right w:val="nil"/>
            </w:tcBorders>
            <w:vAlign w:val="center"/>
          </w:tcPr>
          <w:p w14:paraId="6A13E379" w14:textId="77777777" w:rsidR="000636BA" w:rsidRPr="00E06E58" w:rsidRDefault="000636BA" w:rsidP="007D13A2">
            <w:pPr>
              <w:spacing w:line="276" w:lineRule="auto"/>
              <w:jc w:val="center"/>
              <w:rPr>
                <w:sz w:val="20"/>
                <w:szCs w:val="20"/>
              </w:rPr>
            </w:pPr>
            <w:proofErr w:type="spellStart"/>
            <w:r w:rsidRPr="00E06E58">
              <w:rPr>
                <w:sz w:val="20"/>
                <w:szCs w:val="20"/>
              </w:rPr>
              <w:t>Kelompok</w:t>
            </w:r>
            <w:proofErr w:type="spellEnd"/>
          </w:p>
        </w:tc>
        <w:tc>
          <w:tcPr>
            <w:tcW w:w="4536" w:type="dxa"/>
            <w:tcBorders>
              <w:top w:val="single" w:sz="4" w:space="0" w:color="auto"/>
              <w:left w:val="nil"/>
              <w:bottom w:val="single" w:sz="4" w:space="0" w:color="auto"/>
              <w:right w:val="nil"/>
            </w:tcBorders>
            <w:vAlign w:val="center"/>
            <w:hideMark/>
          </w:tcPr>
          <w:p w14:paraId="180A909F" w14:textId="77777777" w:rsidR="000636BA" w:rsidRPr="00E06E58" w:rsidRDefault="00256360" w:rsidP="007D13A2">
            <w:pPr>
              <w:spacing w:line="276" w:lineRule="auto"/>
              <w:jc w:val="center"/>
              <w:rPr>
                <w:sz w:val="20"/>
                <w:szCs w:val="20"/>
                <w:lang w:val="id-ID"/>
              </w:rPr>
            </w:pPr>
            <w:r w:rsidRPr="00E06E58">
              <w:rPr>
                <w:sz w:val="20"/>
                <w:szCs w:val="20"/>
              </w:rPr>
              <w:t>Mean</w:t>
            </w:r>
            <w:r w:rsidRPr="00E06E58">
              <w:rPr>
                <w:sz w:val="20"/>
                <w:szCs w:val="20"/>
                <w:lang w:val="id-ID"/>
              </w:rPr>
              <w:t xml:space="preserve"> (mg/dl) </w:t>
            </w:r>
            <w:r w:rsidRPr="00E06E58">
              <w:rPr>
                <w:sz w:val="20"/>
                <w:szCs w:val="20"/>
              </w:rPr>
              <w:t>± SD</w:t>
            </w:r>
          </w:p>
        </w:tc>
        <w:tc>
          <w:tcPr>
            <w:tcW w:w="2964" w:type="dxa"/>
            <w:tcBorders>
              <w:top w:val="single" w:sz="4" w:space="0" w:color="auto"/>
              <w:left w:val="nil"/>
              <w:bottom w:val="single" w:sz="4" w:space="0" w:color="auto"/>
              <w:right w:val="nil"/>
            </w:tcBorders>
            <w:vAlign w:val="center"/>
          </w:tcPr>
          <w:p w14:paraId="685ADA4F" w14:textId="77777777" w:rsidR="000636BA" w:rsidRPr="00E06E58" w:rsidRDefault="000636BA" w:rsidP="007D13A2">
            <w:pPr>
              <w:spacing w:line="276" w:lineRule="auto"/>
              <w:jc w:val="center"/>
              <w:rPr>
                <w:sz w:val="20"/>
                <w:szCs w:val="20"/>
              </w:rPr>
            </w:pPr>
            <w:r w:rsidRPr="00E06E58">
              <w:rPr>
                <w:sz w:val="20"/>
                <w:szCs w:val="20"/>
              </w:rPr>
              <w:t>P</w:t>
            </w:r>
          </w:p>
        </w:tc>
      </w:tr>
      <w:tr w:rsidR="000636BA" w:rsidRPr="00E06E58" w14:paraId="38ACACCF" w14:textId="77777777" w:rsidTr="00E06E58">
        <w:trPr>
          <w:trHeight w:val="273"/>
        </w:trPr>
        <w:tc>
          <w:tcPr>
            <w:tcW w:w="2127" w:type="dxa"/>
            <w:tcBorders>
              <w:top w:val="single" w:sz="4" w:space="0" w:color="auto"/>
              <w:left w:val="nil"/>
              <w:bottom w:val="nil"/>
              <w:right w:val="nil"/>
            </w:tcBorders>
            <w:hideMark/>
          </w:tcPr>
          <w:p w14:paraId="46D98A49" w14:textId="77777777" w:rsidR="000636BA" w:rsidRPr="00E06E58" w:rsidRDefault="000636BA" w:rsidP="007D13A2">
            <w:pPr>
              <w:spacing w:line="276" w:lineRule="auto"/>
              <w:jc w:val="left"/>
              <w:rPr>
                <w:sz w:val="20"/>
                <w:szCs w:val="20"/>
              </w:rPr>
            </w:pPr>
            <w:r w:rsidRPr="00E06E58">
              <w:rPr>
                <w:sz w:val="20"/>
                <w:szCs w:val="20"/>
              </w:rPr>
              <w:t>K (-)</w:t>
            </w:r>
          </w:p>
        </w:tc>
        <w:tc>
          <w:tcPr>
            <w:tcW w:w="4536" w:type="dxa"/>
            <w:tcBorders>
              <w:top w:val="single" w:sz="4" w:space="0" w:color="auto"/>
              <w:left w:val="nil"/>
              <w:bottom w:val="nil"/>
              <w:right w:val="nil"/>
            </w:tcBorders>
            <w:hideMark/>
          </w:tcPr>
          <w:p w14:paraId="229AF01C" w14:textId="77777777" w:rsidR="000636BA" w:rsidRPr="00E06E58" w:rsidRDefault="00C9681B" w:rsidP="007D13A2">
            <w:pPr>
              <w:spacing w:line="276" w:lineRule="auto"/>
              <w:jc w:val="center"/>
              <w:rPr>
                <w:sz w:val="20"/>
                <w:szCs w:val="20"/>
                <w:lang w:val="id-ID"/>
              </w:rPr>
            </w:pPr>
            <w:r w:rsidRPr="00E06E58">
              <w:rPr>
                <w:sz w:val="20"/>
                <w:szCs w:val="20"/>
                <w:lang w:val="id-ID"/>
              </w:rPr>
              <w:t>3,03</w:t>
            </w:r>
            <w:r w:rsidR="000636BA" w:rsidRPr="00E06E58">
              <w:rPr>
                <w:rFonts w:eastAsia="Times New Roman"/>
                <w:bCs/>
                <w:color w:val="000000"/>
                <w:sz w:val="20"/>
                <w:szCs w:val="20"/>
                <w:vertAlign w:val="superscript"/>
                <w:lang w:val="id-ID"/>
              </w:rPr>
              <w:t xml:space="preserve"> a</w:t>
            </w:r>
            <w:r w:rsidRPr="00E06E58">
              <w:rPr>
                <w:sz w:val="20"/>
                <w:szCs w:val="20"/>
              </w:rPr>
              <w:t xml:space="preserve"> ± </w:t>
            </w:r>
            <w:r w:rsidRPr="00E06E58">
              <w:rPr>
                <w:sz w:val="20"/>
                <w:szCs w:val="20"/>
                <w:lang w:val="id-ID"/>
              </w:rPr>
              <w:t>0,82</w:t>
            </w:r>
          </w:p>
        </w:tc>
        <w:tc>
          <w:tcPr>
            <w:tcW w:w="2964" w:type="dxa"/>
            <w:vMerge w:val="restart"/>
            <w:tcBorders>
              <w:top w:val="single" w:sz="4" w:space="0" w:color="auto"/>
              <w:left w:val="nil"/>
              <w:bottom w:val="single" w:sz="4" w:space="0" w:color="auto"/>
              <w:right w:val="nil"/>
            </w:tcBorders>
          </w:tcPr>
          <w:p w14:paraId="2CFA1C18" w14:textId="77777777" w:rsidR="000636BA" w:rsidRPr="00E06E58" w:rsidRDefault="000636BA" w:rsidP="007D13A2">
            <w:pPr>
              <w:spacing w:line="276" w:lineRule="auto"/>
              <w:jc w:val="center"/>
              <w:rPr>
                <w:sz w:val="20"/>
                <w:szCs w:val="20"/>
              </w:rPr>
            </w:pPr>
          </w:p>
          <w:p w14:paraId="121487DC" w14:textId="77777777" w:rsidR="000636BA" w:rsidRPr="00E06E58" w:rsidRDefault="00C9681B" w:rsidP="007D13A2">
            <w:pPr>
              <w:spacing w:line="276" w:lineRule="auto"/>
              <w:jc w:val="center"/>
              <w:rPr>
                <w:sz w:val="20"/>
                <w:szCs w:val="20"/>
              </w:rPr>
            </w:pPr>
            <w:r w:rsidRPr="00E06E58">
              <w:rPr>
                <w:sz w:val="20"/>
                <w:szCs w:val="20"/>
              </w:rPr>
              <w:t>0,0</w:t>
            </w:r>
            <w:r w:rsidRPr="00E06E58">
              <w:rPr>
                <w:sz w:val="20"/>
                <w:szCs w:val="20"/>
                <w:lang w:val="id-ID"/>
              </w:rPr>
              <w:t>00</w:t>
            </w:r>
            <w:r w:rsidR="000636BA" w:rsidRPr="00E06E58">
              <w:rPr>
                <w:sz w:val="20"/>
                <w:szCs w:val="20"/>
              </w:rPr>
              <w:t>*</w:t>
            </w:r>
          </w:p>
        </w:tc>
      </w:tr>
      <w:tr w:rsidR="000636BA" w:rsidRPr="00E06E58" w14:paraId="220C92BE" w14:textId="77777777" w:rsidTr="00E06E58">
        <w:trPr>
          <w:trHeight w:val="273"/>
        </w:trPr>
        <w:tc>
          <w:tcPr>
            <w:tcW w:w="2127" w:type="dxa"/>
            <w:tcBorders>
              <w:top w:val="nil"/>
              <w:left w:val="nil"/>
              <w:bottom w:val="nil"/>
              <w:right w:val="nil"/>
            </w:tcBorders>
            <w:hideMark/>
          </w:tcPr>
          <w:p w14:paraId="536E4948" w14:textId="77777777" w:rsidR="000636BA" w:rsidRPr="00E06E58" w:rsidRDefault="000636BA" w:rsidP="007D13A2">
            <w:pPr>
              <w:spacing w:line="276" w:lineRule="auto"/>
              <w:jc w:val="left"/>
              <w:rPr>
                <w:sz w:val="20"/>
                <w:szCs w:val="20"/>
              </w:rPr>
            </w:pPr>
            <w:r w:rsidRPr="00E06E58">
              <w:rPr>
                <w:sz w:val="20"/>
                <w:szCs w:val="20"/>
              </w:rPr>
              <w:t>K (+)</w:t>
            </w:r>
          </w:p>
        </w:tc>
        <w:tc>
          <w:tcPr>
            <w:tcW w:w="4536" w:type="dxa"/>
            <w:tcBorders>
              <w:top w:val="nil"/>
              <w:left w:val="nil"/>
              <w:bottom w:val="nil"/>
              <w:right w:val="nil"/>
            </w:tcBorders>
            <w:hideMark/>
          </w:tcPr>
          <w:p w14:paraId="48FE1EF4" w14:textId="77777777" w:rsidR="000636BA" w:rsidRPr="00E06E58" w:rsidRDefault="00C9681B" w:rsidP="007D13A2">
            <w:pPr>
              <w:spacing w:line="276" w:lineRule="auto"/>
              <w:jc w:val="center"/>
              <w:rPr>
                <w:sz w:val="20"/>
                <w:szCs w:val="20"/>
                <w:lang w:val="id-ID"/>
              </w:rPr>
            </w:pPr>
            <w:r w:rsidRPr="00E06E58">
              <w:rPr>
                <w:sz w:val="20"/>
                <w:szCs w:val="20"/>
                <w:lang w:val="id-ID"/>
              </w:rPr>
              <w:t>4,96</w:t>
            </w:r>
            <w:r w:rsidRPr="00E06E58">
              <w:rPr>
                <w:rFonts w:eastAsia="Times New Roman"/>
                <w:bCs/>
                <w:color w:val="000000"/>
                <w:sz w:val="20"/>
                <w:szCs w:val="20"/>
                <w:vertAlign w:val="superscript"/>
                <w:lang w:val="id-ID"/>
              </w:rPr>
              <w:t xml:space="preserve"> b</w:t>
            </w:r>
            <w:r w:rsidRPr="00E06E58">
              <w:rPr>
                <w:sz w:val="20"/>
                <w:szCs w:val="20"/>
              </w:rPr>
              <w:t xml:space="preserve"> ± </w:t>
            </w:r>
            <w:r w:rsidRPr="00E06E58">
              <w:rPr>
                <w:sz w:val="20"/>
                <w:szCs w:val="20"/>
                <w:lang w:val="id-ID"/>
              </w:rPr>
              <w:t>0,28</w:t>
            </w:r>
          </w:p>
        </w:tc>
        <w:tc>
          <w:tcPr>
            <w:tcW w:w="2964" w:type="dxa"/>
            <w:vMerge/>
            <w:tcBorders>
              <w:top w:val="single" w:sz="4" w:space="0" w:color="auto"/>
              <w:left w:val="nil"/>
              <w:bottom w:val="single" w:sz="4" w:space="0" w:color="auto"/>
              <w:right w:val="nil"/>
            </w:tcBorders>
            <w:vAlign w:val="center"/>
            <w:hideMark/>
          </w:tcPr>
          <w:p w14:paraId="57F661A3" w14:textId="77777777" w:rsidR="000636BA" w:rsidRPr="00E06E58" w:rsidRDefault="000636BA" w:rsidP="007D13A2">
            <w:pPr>
              <w:spacing w:line="276" w:lineRule="auto"/>
              <w:rPr>
                <w:sz w:val="20"/>
                <w:szCs w:val="20"/>
              </w:rPr>
            </w:pPr>
          </w:p>
        </w:tc>
      </w:tr>
      <w:tr w:rsidR="000636BA" w:rsidRPr="00E06E58" w14:paraId="6192A473" w14:textId="77777777" w:rsidTr="00E06E58">
        <w:trPr>
          <w:trHeight w:val="273"/>
        </w:trPr>
        <w:tc>
          <w:tcPr>
            <w:tcW w:w="2127" w:type="dxa"/>
            <w:tcBorders>
              <w:top w:val="nil"/>
              <w:left w:val="nil"/>
              <w:bottom w:val="single" w:sz="4" w:space="0" w:color="auto"/>
              <w:right w:val="nil"/>
            </w:tcBorders>
            <w:hideMark/>
          </w:tcPr>
          <w:p w14:paraId="57664569" w14:textId="77777777" w:rsidR="000636BA" w:rsidRPr="00E06E58" w:rsidRDefault="000636BA" w:rsidP="007D13A2">
            <w:pPr>
              <w:spacing w:line="276" w:lineRule="auto"/>
              <w:jc w:val="left"/>
              <w:rPr>
                <w:sz w:val="20"/>
                <w:szCs w:val="20"/>
              </w:rPr>
            </w:pPr>
            <w:r w:rsidRPr="00E06E58">
              <w:rPr>
                <w:sz w:val="20"/>
                <w:szCs w:val="20"/>
              </w:rPr>
              <w:t>P</w:t>
            </w:r>
          </w:p>
        </w:tc>
        <w:tc>
          <w:tcPr>
            <w:tcW w:w="4536" w:type="dxa"/>
            <w:tcBorders>
              <w:top w:val="nil"/>
              <w:left w:val="nil"/>
              <w:bottom w:val="single" w:sz="4" w:space="0" w:color="auto"/>
              <w:right w:val="nil"/>
            </w:tcBorders>
            <w:hideMark/>
          </w:tcPr>
          <w:p w14:paraId="0981A471" w14:textId="77777777" w:rsidR="000636BA" w:rsidRPr="00E06E58" w:rsidRDefault="00C9681B" w:rsidP="007D13A2">
            <w:pPr>
              <w:spacing w:line="276" w:lineRule="auto"/>
              <w:jc w:val="center"/>
              <w:rPr>
                <w:sz w:val="20"/>
                <w:szCs w:val="20"/>
                <w:lang w:val="id-ID"/>
              </w:rPr>
            </w:pPr>
            <w:r w:rsidRPr="00E06E58">
              <w:rPr>
                <w:sz w:val="20"/>
                <w:szCs w:val="20"/>
                <w:lang w:val="id-ID"/>
              </w:rPr>
              <w:t>5,41</w:t>
            </w:r>
            <w:r w:rsidR="000636BA" w:rsidRPr="00E06E58">
              <w:rPr>
                <w:rFonts w:eastAsia="Times New Roman"/>
                <w:bCs/>
                <w:color w:val="000000"/>
                <w:sz w:val="20"/>
                <w:szCs w:val="20"/>
                <w:vertAlign w:val="superscript"/>
                <w:lang w:val="id-ID"/>
              </w:rPr>
              <w:t xml:space="preserve"> b</w:t>
            </w:r>
            <w:r w:rsidRPr="00E06E58">
              <w:rPr>
                <w:sz w:val="20"/>
                <w:szCs w:val="20"/>
              </w:rPr>
              <w:t xml:space="preserve"> ± </w:t>
            </w:r>
            <w:r w:rsidRPr="00E06E58">
              <w:rPr>
                <w:sz w:val="20"/>
                <w:szCs w:val="20"/>
                <w:lang w:val="id-ID"/>
              </w:rPr>
              <w:t>0,81</w:t>
            </w:r>
          </w:p>
        </w:tc>
        <w:tc>
          <w:tcPr>
            <w:tcW w:w="2964" w:type="dxa"/>
            <w:vMerge/>
            <w:tcBorders>
              <w:top w:val="single" w:sz="4" w:space="0" w:color="auto"/>
              <w:left w:val="nil"/>
              <w:bottom w:val="single" w:sz="4" w:space="0" w:color="auto"/>
              <w:right w:val="nil"/>
            </w:tcBorders>
            <w:vAlign w:val="center"/>
            <w:hideMark/>
          </w:tcPr>
          <w:p w14:paraId="4D8E279E" w14:textId="77777777" w:rsidR="000636BA" w:rsidRPr="00E06E58" w:rsidRDefault="000636BA" w:rsidP="007D13A2">
            <w:pPr>
              <w:spacing w:line="276" w:lineRule="auto"/>
              <w:rPr>
                <w:sz w:val="20"/>
                <w:szCs w:val="20"/>
              </w:rPr>
            </w:pPr>
          </w:p>
        </w:tc>
      </w:tr>
    </w:tbl>
    <w:p w14:paraId="51BBB7A1" w14:textId="77777777" w:rsidR="00C9681B" w:rsidRPr="00EE660B" w:rsidRDefault="00C9681B" w:rsidP="007D13A2">
      <w:pPr>
        <w:spacing w:line="276" w:lineRule="auto"/>
        <w:rPr>
          <w:sz w:val="20"/>
          <w:lang w:val="id-ID"/>
        </w:rPr>
      </w:pPr>
      <w:r w:rsidRPr="00EE660B">
        <w:rPr>
          <w:sz w:val="20"/>
          <w:lang w:val="id-ID"/>
        </w:rPr>
        <w:t>Keterangan: *signifikan p &lt; 0,05. Angka yang didampingi huruf m</w:t>
      </w:r>
      <w:r w:rsidR="00ED0C74">
        <w:rPr>
          <w:sz w:val="20"/>
          <w:lang w:val="id-ID"/>
        </w:rPr>
        <w:t>enandakan perbedaan yang bermakna</w:t>
      </w:r>
      <w:r w:rsidR="00FA2344">
        <w:rPr>
          <w:sz w:val="20"/>
          <w:lang w:val="id-ID"/>
        </w:rPr>
        <w:t>, dan jika huru</w:t>
      </w:r>
      <w:r w:rsidR="00FA2344">
        <w:rPr>
          <w:sz w:val="20"/>
          <w:lang w:val="en-GB"/>
        </w:rPr>
        <w:t>f</w:t>
      </w:r>
      <w:r w:rsidRPr="00EE660B">
        <w:rPr>
          <w:sz w:val="20"/>
          <w:lang w:val="id-ID"/>
        </w:rPr>
        <w:t xml:space="preserve"> yang sama artinya </w:t>
      </w:r>
      <w:r w:rsidR="00ED0C74">
        <w:rPr>
          <w:sz w:val="20"/>
          <w:lang w:val="id-ID"/>
        </w:rPr>
        <w:t>tidak ada perbedaan yang bermakna</w:t>
      </w:r>
      <w:r w:rsidRPr="00EE660B">
        <w:rPr>
          <w:sz w:val="20"/>
          <w:lang w:val="id-ID"/>
        </w:rPr>
        <w:t xml:space="preserve">. </w:t>
      </w:r>
    </w:p>
    <w:p w14:paraId="3EB7B97C" w14:textId="33AABAD5" w:rsidR="00751A2F" w:rsidRPr="00C74B83" w:rsidRDefault="00751A2F" w:rsidP="007D13A2">
      <w:pPr>
        <w:spacing w:line="276" w:lineRule="auto"/>
        <w:ind w:firstLine="567"/>
        <w:rPr>
          <w:szCs w:val="24"/>
          <w:lang w:val="id-ID"/>
        </w:rPr>
      </w:pPr>
    </w:p>
    <w:p w14:paraId="2953919B" w14:textId="77777777" w:rsidR="002B7D68" w:rsidRPr="00E10D93" w:rsidRDefault="002B7D68" w:rsidP="007D13A2">
      <w:pPr>
        <w:spacing w:line="276" w:lineRule="auto"/>
        <w:ind w:firstLine="567"/>
        <w:rPr>
          <w:szCs w:val="24"/>
          <w:lang w:val="id-ID"/>
        </w:rPr>
      </w:pPr>
      <w:r w:rsidRPr="009E71E2">
        <w:rPr>
          <w:szCs w:val="24"/>
          <w:lang w:val="id-ID"/>
        </w:rPr>
        <w:t>Peneli</w:t>
      </w:r>
      <w:r w:rsidR="009E71E2">
        <w:rPr>
          <w:szCs w:val="24"/>
          <w:lang w:val="id-ID"/>
        </w:rPr>
        <w:t>tian yang dilakukan oleh Rahmi</w:t>
      </w:r>
      <w:r w:rsidRPr="009E71E2">
        <w:rPr>
          <w:szCs w:val="24"/>
          <w:lang w:val="id-ID"/>
        </w:rPr>
        <w:t xml:space="preserve"> menunjukkan bahwa induksi kafein dengan dosis 27 mg/200 gBB selama 6 hari mampu menaikkan kadar asam urat tikus diatas nilai normal (&gt; 4,37 mg/dl)</w:t>
      </w:r>
      <w:r w:rsidR="00D5468F">
        <w:rPr>
          <w:szCs w:val="24"/>
          <w:lang w:val="id-ID"/>
        </w:rPr>
        <w:t>.</w:t>
      </w:r>
      <w:r w:rsidR="009E71E2" w:rsidRPr="00D04037">
        <w:rPr>
          <w:szCs w:val="24"/>
          <w:lang w:val="id-ID"/>
        </w:rPr>
        <w:fldChar w:fldCharType="begin" w:fldLock="1"/>
      </w:r>
      <w:r w:rsidR="00650E80">
        <w:rPr>
          <w:szCs w:val="24"/>
          <w:lang w:val="id-ID"/>
        </w:rPr>
        <w:instrText>ADDIN CSL_CITATION {"citationItems":[{"id":"ITEM-1","itemData":{"ISBN":"1113310200004","author":[{"dropping-particle":"","family":"Rahmi","given":"Yuni","non-dropping-particle":"","parse-names":false,"suffix":""}],"container-title":"Universitas Islam Negeri Syarif Hidayatullah","id":"ITEM-1","issue":"September","issued":{"date-parts":[["2017"]]},"publisher":"Universitas Islam Negeri Syarif Hidayatullah","title":"Uji Antihiperurisemia Kombinasi Ekstrak Etanol 70% Daun Sidaguri (Sida rhombifolia L) Dan Allopurinol Terhadap Tikus Sprague-Dawley Yang Diinduksi Kafein","type":"thesis"},"uris":["http://www.mendeley.com/documents/?uuid=d241b1f4-f73b-46d8-8b11-8134bee77908"]}],"mendeley":{"formattedCitation":"&lt;sup&gt;13&lt;/sup&gt;","plainTextFormattedCitation":"13","previouslyFormattedCitation":"&lt;sup&gt;13&lt;/sup&gt;"},"properties":{"noteIndex":0},"schema":"https://github.com/citation-style-language/schema/raw/master/csl-citation.json"}</w:instrText>
      </w:r>
      <w:r w:rsidR="009E71E2" w:rsidRPr="00D04037">
        <w:rPr>
          <w:szCs w:val="24"/>
          <w:lang w:val="id-ID"/>
        </w:rPr>
        <w:fldChar w:fldCharType="separate"/>
      </w:r>
      <w:r w:rsidR="004E5F0B" w:rsidRPr="004E5F0B">
        <w:rPr>
          <w:noProof/>
          <w:szCs w:val="24"/>
          <w:vertAlign w:val="superscript"/>
          <w:lang w:val="id-ID"/>
        </w:rPr>
        <w:t>13</w:t>
      </w:r>
      <w:r w:rsidR="009E71E2" w:rsidRPr="00D04037">
        <w:rPr>
          <w:szCs w:val="24"/>
          <w:lang w:val="id-ID"/>
        </w:rPr>
        <w:fldChar w:fldCharType="end"/>
      </w:r>
      <w:r w:rsidRPr="009E71E2">
        <w:rPr>
          <w:szCs w:val="24"/>
          <w:lang w:val="id-ID"/>
        </w:rPr>
        <w:t xml:space="preserve"> </w:t>
      </w:r>
      <w:r w:rsidRPr="00E10D93">
        <w:rPr>
          <w:szCs w:val="24"/>
          <w:lang w:val="id-ID"/>
        </w:rPr>
        <w:t xml:space="preserve">Namun pada penelitian ini pemberian kafein dengan dosis 27 mg/200 gBB selama 6 hari belum mampu menaikkan kadar asam urat tikus hingga diatas nilai normal. Sehingga peneliti melanjutkan penginduksian selama 12 hari hingga kondisi tikus menjadi  hiperurisemia. </w:t>
      </w:r>
    </w:p>
    <w:p w14:paraId="0605ACB2" w14:textId="77777777" w:rsidR="00C9681B" w:rsidRDefault="002B7D68" w:rsidP="007D13A2">
      <w:pPr>
        <w:spacing w:line="276" w:lineRule="auto"/>
        <w:ind w:firstLine="567"/>
        <w:rPr>
          <w:szCs w:val="24"/>
          <w:lang w:val="id-ID"/>
        </w:rPr>
      </w:pPr>
      <w:r w:rsidRPr="00E10D93">
        <w:rPr>
          <w:szCs w:val="24"/>
          <w:lang w:val="id-ID"/>
        </w:rPr>
        <w:t xml:space="preserve">Kafein dapat meningkatkan kadar asam urat karena komponen alkaloid derivat xantin dalam kafein mengandung gugus metil yang akan dioksidasi oleh enzim xantin oksidase untuk membentuk asam urat sehingga terjadi peningkatan kadar asam urat dalam tubuh. </w:t>
      </w:r>
      <w:r w:rsidRPr="00C74B83">
        <w:rPr>
          <w:szCs w:val="24"/>
          <w:lang w:val="nl-NL"/>
        </w:rPr>
        <w:t>Kandungan metilxantin dalam kafein akan dieliminasi melalui hati dan diekskresikan melalui urin dalam b</w:t>
      </w:r>
      <w:r w:rsidR="00D5468F">
        <w:rPr>
          <w:szCs w:val="24"/>
          <w:lang w:val="nl-NL"/>
        </w:rPr>
        <w:t>entuk asam urat.</w:t>
      </w:r>
      <w:r w:rsidR="009E71E2" w:rsidRPr="00D04037">
        <w:rPr>
          <w:szCs w:val="24"/>
          <w:lang w:val="nl-NL"/>
        </w:rPr>
        <w:fldChar w:fldCharType="begin" w:fldLock="1"/>
      </w:r>
      <w:r w:rsidR="00650E80">
        <w:rPr>
          <w:szCs w:val="24"/>
          <w:lang w:val="nl-NL"/>
        </w:rPr>
        <w:instrText>ADDIN CSL_CITATION {"citationItems":[{"id":"ITEM-1","itemData":{"ISBN":"1950122719","author":[{"dropping-particle":"","family":"Prasetia","given":"Yudha","non-dropping-particle":"","parse-names":false,"suffix":""}],"id":"ITEM-1","issued":{"date-parts":[["2009"]]},"title":"Uji efek ekstrak etanol daun sirih (","type":"book"},"uris":["http://www.mendeley.com/documents/?uuid=be3dee61-bf66-4e6b-8d12-37bffa22a5d6"]}],"mendeley":{"formattedCitation":"&lt;sup&gt;17&lt;/sup&gt;","plainTextFormattedCitation":"17","previouslyFormattedCitation":"&lt;sup&gt;17&lt;/sup&gt;"},"properties":{"noteIndex":0},"schema":"https://github.com/citation-style-language/schema/raw/master/csl-citation.json"}</w:instrText>
      </w:r>
      <w:r w:rsidR="009E71E2" w:rsidRPr="00D04037">
        <w:rPr>
          <w:szCs w:val="24"/>
          <w:lang w:val="nl-NL"/>
        </w:rPr>
        <w:fldChar w:fldCharType="separate"/>
      </w:r>
      <w:r w:rsidR="004E5F0B" w:rsidRPr="004E5F0B">
        <w:rPr>
          <w:noProof/>
          <w:szCs w:val="24"/>
          <w:vertAlign w:val="superscript"/>
          <w:lang w:val="nl-NL"/>
        </w:rPr>
        <w:t>17</w:t>
      </w:r>
      <w:r w:rsidR="009E71E2" w:rsidRPr="00D04037">
        <w:rPr>
          <w:szCs w:val="24"/>
          <w:lang w:val="nl-NL"/>
        </w:rPr>
        <w:fldChar w:fldCharType="end"/>
      </w:r>
    </w:p>
    <w:p w14:paraId="22BEE3C9" w14:textId="77777777" w:rsidR="002B7D68" w:rsidRPr="008E0A7B" w:rsidRDefault="002B7D68" w:rsidP="007D13A2">
      <w:pPr>
        <w:spacing w:line="276" w:lineRule="auto"/>
        <w:rPr>
          <w:color w:val="FF0000"/>
          <w:szCs w:val="24"/>
          <w:lang w:val="id-ID"/>
        </w:rPr>
      </w:pPr>
    </w:p>
    <w:p w14:paraId="10355590" w14:textId="77777777" w:rsidR="00E06E58" w:rsidRPr="00E06E58" w:rsidRDefault="00E06E58" w:rsidP="00BE5F99">
      <w:pPr>
        <w:spacing w:line="276" w:lineRule="auto"/>
        <w:rPr>
          <w:b/>
          <w:lang w:val="id-ID"/>
        </w:rPr>
      </w:pPr>
      <w:r w:rsidRPr="00E06E58">
        <w:rPr>
          <w:b/>
          <w:lang w:val="id-ID"/>
        </w:rPr>
        <w:t>Analisis Asupan Pakan selama Perlakuan</w:t>
      </w:r>
    </w:p>
    <w:p w14:paraId="692029FC" w14:textId="20DC4FCB" w:rsidR="00E06E58" w:rsidRPr="008A1054" w:rsidRDefault="00AF2C3F" w:rsidP="00EC11FC">
      <w:pPr>
        <w:spacing w:line="276" w:lineRule="auto"/>
        <w:ind w:firstLine="567"/>
      </w:pPr>
      <w:r w:rsidRPr="0042741B">
        <w:rPr>
          <w:lang w:val="nl-NL"/>
        </w:rPr>
        <w:t>Analisi</w:t>
      </w:r>
      <w:r w:rsidR="006D3F8A" w:rsidRPr="0042741B">
        <w:rPr>
          <w:lang w:val="nl-NL"/>
        </w:rPr>
        <w:t xml:space="preserve">s asupan pakan </w:t>
      </w:r>
      <w:r w:rsidRPr="0042741B">
        <w:rPr>
          <w:lang w:val="nl-NL"/>
        </w:rPr>
        <w:t xml:space="preserve">bertujuan untuk </w:t>
      </w:r>
      <w:r w:rsidR="006D3F8A" w:rsidRPr="0042741B">
        <w:rPr>
          <w:lang w:val="nl-NL"/>
        </w:rPr>
        <w:t xml:space="preserve">menganalisis perbedaan asupan pakan antar kelompok </w:t>
      </w:r>
      <w:r w:rsidR="008977B7" w:rsidRPr="0042741B">
        <w:rPr>
          <w:lang w:val="nl-NL"/>
        </w:rPr>
        <w:t xml:space="preserve">selama perlakuan. </w:t>
      </w:r>
      <w:r w:rsidR="001E1631">
        <w:rPr>
          <w:lang w:val="id-ID"/>
        </w:rPr>
        <w:t xml:space="preserve">Hasil uji </w:t>
      </w:r>
      <w:r w:rsidR="001E1631" w:rsidRPr="008E0A7B">
        <w:rPr>
          <w:lang w:val="id-ID"/>
        </w:rPr>
        <w:t>normalitas</w:t>
      </w:r>
      <w:r w:rsidR="001E1631" w:rsidRPr="00F904A9">
        <w:rPr>
          <w:i/>
          <w:lang w:val="id-ID"/>
        </w:rPr>
        <w:t xml:space="preserve"> </w:t>
      </w:r>
      <w:r w:rsidR="001E1631">
        <w:rPr>
          <w:lang w:val="id-ID"/>
        </w:rPr>
        <w:t>menunjukkan data berdistribusi tidak berditribusi normal, namun setelah diuji homogenitas data menunjukkan homoge</w:t>
      </w:r>
      <w:r w:rsidR="00046C9C" w:rsidRPr="0042741B">
        <w:rPr>
          <w:lang w:val="nl-NL"/>
        </w:rPr>
        <w:t>n</w:t>
      </w:r>
      <w:r w:rsidR="001E1631">
        <w:rPr>
          <w:lang w:val="id-ID"/>
        </w:rPr>
        <w:t xml:space="preserve">. Maka dilanjutkan uji non-parametik menggunakan </w:t>
      </w:r>
      <w:r w:rsidR="00EC11FC">
        <w:rPr>
          <w:i/>
          <w:lang w:val="id-ID"/>
        </w:rPr>
        <w:t>Kruskal wallis</w:t>
      </w:r>
      <w:r w:rsidR="00EC11FC" w:rsidRPr="0042741B">
        <w:rPr>
          <w:i/>
          <w:lang w:val="id-ID"/>
        </w:rPr>
        <w:t xml:space="preserve"> </w:t>
      </w:r>
      <w:r w:rsidR="00EC11FC" w:rsidRPr="0042741B">
        <w:rPr>
          <w:lang w:val="id-ID"/>
        </w:rPr>
        <w:t xml:space="preserve">yang dapat dilihat pada </w:t>
      </w:r>
      <w:proofErr w:type="spellStart"/>
      <w:r w:rsidR="00BE5F99">
        <w:t>Tabel</w:t>
      </w:r>
      <w:proofErr w:type="spellEnd"/>
      <w:r w:rsidR="00BE5F99">
        <w:t xml:space="preserve"> 3</w:t>
      </w:r>
      <w:r w:rsidR="008A1054">
        <w:t>.</w:t>
      </w:r>
    </w:p>
    <w:p w14:paraId="11F79CFD" w14:textId="77777777" w:rsidR="00EC11FC" w:rsidRPr="0042741B" w:rsidRDefault="00EC11FC" w:rsidP="00EC11FC">
      <w:pPr>
        <w:spacing w:line="276" w:lineRule="auto"/>
        <w:ind w:firstLine="567"/>
        <w:rPr>
          <w:lang w:val="id-ID"/>
        </w:rPr>
      </w:pPr>
    </w:p>
    <w:p w14:paraId="634E53B9" w14:textId="06F3269B" w:rsidR="001E1631" w:rsidRDefault="001E1631" w:rsidP="00BE5F99">
      <w:pPr>
        <w:spacing w:line="276" w:lineRule="auto"/>
        <w:jc w:val="center"/>
        <w:rPr>
          <w:bCs/>
          <w:szCs w:val="24"/>
          <w:lang w:val="id-ID"/>
        </w:rPr>
      </w:pPr>
      <w:r>
        <w:rPr>
          <w:bCs/>
          <w:szCs w:val="24"/>
          <w:lang w:val="id-ID"/>
        </w:rPr>
        <w:t>Tabel 3. Analisis Asupan Pakan</w:t>
      </w: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2127"/>
        <w:gridCol w:w="2693"/>
        <w:gridCol w:w="1577"/>
        <w:gridCol w:w="1505"/>
        <w:gridCol w:w="1736"/>
      </w:tblGrid>
      <w:tr w:rsidR="001E1631" w:rsidRPr="00E06E58" w14:paraId="57B7383A" w14:textId="77777777" w:rsidTr="00E06E58">
        <w:trPr>
          <w:trHeight w:val="391"/>
        </w:trPr>
        <w:tc>
          <w:tcPr>
            <w:tcW w:w="2127" w:type="dxa"/>
            <w:tcBorders>
              <w:top w:val="single" w:sz="4" w:space="0" w:color="auto"/>
              <w:left w:val="nil"/>
              <w:bottom w:val="single" w:sz="4" w:space="0" w:color="auto"/>
              <w:right w:val="nil"/>
            </w:tcBorders>
            <w:vAlign w:val="center"/>
            <w:hideMark/>
          </w:tcPr>
          <w:p w14:paraId="4EEEDACA" w14:textId="77777777" w:rsidR="001E1631" w:rsidRPr="00E06E58" w:rsidRDefault="001E1631" w:rsidP="007D13A2">
            <w:pPr>
              <w:spacing w:line="276" w:lineRule="auto"/>
              <w:jc w:val="center"/>
              <w:rPr>
                <w:sz w:val="20"/>
                <w:szCs w:val="20"/>
                <w:lang w:val="id-ID"/>
              </w:rPr>
            </w:pPr>
            <w:proofErr w:type="spellStart"/>
            <w:r w:rsidRPr="00E06E58">
              <w:rPr>
                <w:sz w:val="20"/>
                <w:szCs w:val="20"/>
              </w:rPr>
              <w:t>Kelompok</w:t>
            </w:r>
            <w:proofErr w:type="spellEnd"/>
          </w:p>
        </w:tc>
        <w:tc>
          <w:tcPr>
            <w:tcW w:w="2693" w:type="dxa"/>
            <w:tcBorders>
              <w:top w:val="single" w:sz="4" w:space="0" w:color="auto"/>
              <w:left w:val="nil"/>
              <w:bottom w:val="single" w:sz="4" w:space="0" w:color="auto"/>
              <w:right w:val="nil"/>
            </w:tcBorders>
            <w:vAlign w:val="center"/>
          </w:tcPr>
          <w:p w14:paraId="3C4C5784" w14:textId="77777777" w:rsidR="001E1631" w:rsidRPr="00E06E58" w:rsidRDefault="001E1631" w:rsidP="00E06E58">
            <w:pPr>
              <w:spacing w:line="276" w:lineRule="auto"/>
              <w:jc w:val="center"/>
              <w:rPr>
                <w:sz w:val="20"/>
                <w:szCs w:val="20"/>
                <w:lang w:val="id-ID"/>
              </w:rPr>
            </w:pPr>
            <w:r w:rsidRPr="00E06E58">
              <w:rPr>
                <w:sz w:val="20"/>
                <w:szCs w:val="20"/>
                <w:lang w:val="id-ID"/>
              </w:rPr>
              <w:t>Median</w:t>
            </w:r>
            <w:r w:rsidR="00E06E58" w:rsidRPr="00E06E58">
              <w:rPr>
                <w:sz w:val="20"/>
                <w:szCs w:val="20"/>
                <w:lang w:val="id-ID"/>
              </w:rPr>
              <w:t xml:space="preserve"> </w:t>
            </w:r>
            <w:r w:rsidRPr="00E06E58">
              <w:rPr>
                <w:sz w:val="20"/>
                <w:szCs w:val="20"/>
                <w:lang w:val="id-ID"/>
              </w:rPr>
              <w:t>(mg/dl)</w:t>
            </w:r>
          </w:p>
        </w:tc>
        <w:tc>
          <w:tcPr>
            <w:tcW w:w="1577" w:type="dxa"/>
            <w:tcBorders>
              <w:top w:val="single" w:sz="4" w:space="0" w:color="auto"/>
              <w:left w:val="nil"/>
              <w:bottom w:val="single" w:sz="4" w:space="0" w:color="auto"/>
              <w:right w:val="nil"/>
            </w:tcBorders>
            <w:vAlign w:val="center"/>
          </w:tcPr>
          <w:p w14:paraId="57C63E84" w14:textId="77777777" w:rsidR="001E1631" w:rsidRPr="00E06E58" w:rsidRDefault="001E1631" w:rsidP="007D13A2">
            <w:pPr>
              <w:spacing w:line="276" w:lineRule="auto"/>
              <w:jc w:val="center"/>
              <w:rPr>
                <w:sz w:val="20"/>
                <w:szCs w:val="20"/>
                <w:lang w:val="id-ID"/>
              </w:rPr>
            </w:pPr>
            <w:r w:rsidRPr="00E06E58">
              <w:rPr>
                <w:sz w:val="20"/>
                <w:szCs w:val="20"/>
                <w:lang w:val="id-ID"/>
              </w:rPr>
              <w:t>Min</w:t>
            </w:r>
          </w:p>
        </w:tc>
        <w:tc>
          <w:tcPr>
            <w:tcW w:w="1505" w:type="dxa"/>
            <w:tcBorders>
              <w:top w:val="single" w:sz="4" w:space="0" w:color="auto"/>
              <w:left w:val="nil"/>
              <w:bottom w:val="single" w:sz="4" w:space="0" w:color="auto"/>
              <w:right w:val="nil"/>
            </w:tcBorders>
            <w:vAlign w:val="center"/>
          </w:tcPr>
          <w:p w14:paraId="6B592671" w14:textId="77777777" w:rsidR="001E1631" w:rsidRPr="00E06E58" w:rsidRDefault="001E1631" w:rsidP="007D13A2">
            <w:pPr>
              <w:spacing w:line="276" w:lineRule="auto"/>
              <w:jc w:val="center"/>
              <w:rPr>
                <w:sz w:val="20"/>
                <w:szCs w:val="20"/>
                <w:lang w:val="id-ID"/>
              </w:rPr>
            </w:pPr>
            <w:r w:rsidRPr="00E06E58">
              <w:rPr>
                <w:sz w:val="20"/>
                <w:szCs w:val="20"/>
                <w:lang w:val="id-ID"/>
              </w:rPr>
              <w:t>Max</w:t>
            </w:r>
          </w:p>
        </w:tc>
        <w:tc>
          <w:tcPr>
            <w:tcW w:w="1736" w:type="dxa"/>
            <w:tcBorders>
              <w:top w:val="single" w:sz="4" w:space="0" w:color="auto"/>
              <w:left w:val="nil"/>
              <w:bottom w:val="single" w:sz="4" w:space="0" w:color="auto"/>
              <w:right w:val="nil"/>
            </w:tcBorders>
            <w:vAlign w:val="center"/>
            <w:hideMark/>
          </w:tcPr>
          <w:p w14:paraId="5624AABF" w14:textId="77777777" w:rsidR="001E1631" w:rsidRPr="00E06E58" w:rsidRDefault="001E1631" w:rsidP="007D13A2">
            <w:pPr>
              <w:spacing w:line="276" w:lineRule="auto"/>
              <w:jc w:val="center"/>
              <w:rPr>
                <w:sz w:val="20"/>
                <w:szCs w:val="20"/>
              </w:rPr>
            </w:pPr>
            <w:r w:rsidRPr="00E06E58">
              <w:rPr>
                <w:sz w:val="20"/>
                <w:szCs w:val="20"/>
              </w:rPr>
              <w:t>P</w:t>
            </w:r>
          </w:p>
        </w:tc>
      </w:tr>
      <w:tr w:rsidR="001E1631" w:rsidRPr="00E06E58" w14:paraId="43CBEA3D" w14:textId="77777777" w:rsidTr="00E06E58">
        <w:trPr>
          <w:trHeight w:val="285"/>
        </w:trPr>
        <w:tc>
          <w:tcPr>
            <w:tcW w:w="2127" w:type="dxa"/>
            <w:tcBorders>
              <w:top w:val="single" w:sz="4" w:space="0" w:color="auto"/>
              <w:left w:val="nil"/>
              <w:bottom w:val="nil"/>
              <w:right w:val="nil"/>
            </w:tcBorders>
            <w:hideMark/>
          </w:tcPr>
          <w:p w14:paraId="2AF4F6EB" w14:textId="77777777" w:rsidR="001E1631" w:rsidRPr="00E06E58" w:rsidRDefault="001E1631" w:rsidP="007D13A2">
            <w:pPr>
              <w:spacing w:line="276" w:lineRule="auto"/>
              <w:jc w:val="left"/>
              <w:rPr>
                <w:sz w:val="20"/>
                <w:szCs w:val="20"/>
              </w:rPr>
            </w:pPr>
            <w:r w:rsidRPr="00E06E58">
              <w:rPr>
                <w:sz w:val="20"/>
                <w:szCs w:val="20"/>
              </w:rPr>
              <w:t>K (-)</w:t>
            </w:r>
          </w:p>
        </w:tc>
        <w:tc>
          <w:tcPr>
            <w:tcW w:w="2693" w:type="dxa"/>
            <w:tcBorders>
              <w:top w:val="single" w:sz="4" w:space="0" w:color="auto"/>
              <w:left w:val="nil"/>
              <w:bottom w:val="nil"/>
              <w:right w:val="nil"/>
            </w:tcBorders>
          </w:tcPr>
          <w:p w14:paraId="12B153CA" w14:textId="77777777" w:rsidR="001E1631" w:rsidRPr="00E06E58" w:rsidRDefault="001E1631" w:rsidP="007D13A2">
            <w:pPr>
              <w:spacing w:line="276" w:lineRule="auto"/>
              <w:jc w:val="center"/>
              <w:rPr>
                <w:sz w:val="20"/>
                <w:szCs w:val="20"/>
                <w:lang w:val="id-ID"/>
              </w:rPr>
            </w:pPr>
            <w:r w:rsidRPr="00E06E58">
              <w:rPr>
                <w:sz w:val="20"/>
                <w:szCs w:val="20"/>
                <w:lang w:val="id-ID"/>
              </w:rPr>
              <w:t>20,0</w:t>
            </w:r>
          </w:p>
        </w:tc>
        <w:tc>
          <w:tcPr>
            <w:tcW w:w="1577" w:type="dxa"/>
            <w:tcBorders>
              <w:top w:val="single" w:sz="4" w:space="0" w:color="auto"/>
              <w:left w:val="nil"/>
              <w:bottom w:val="nil"/>
              <w:right w:val="nil"/>
            </w:tcBorders>
          </w:tcPr>
          <w:p w14:paraId="37E82BA0" w14:textId="77777777" w:rsidR="001E1631" w:rsidRPr="00E06E58" w:rsidRDefault="00064A81" w:rsidP="007D13A2">
            <w:pPr>
              <w:spacing w:line="276" w:lineRule="auto"/>
              <w:jc w:val="center"/>
              <w:rPr>
                <w:sz w:val="20"/>
                <w:szCs w:val="20"/>
                <w:lang w:val="id-ID"/>
              </w:rPr>
            </w:pPr>
            <w:r w:rsidRPr="00E06E58">
              <w:rPr>
                <w:sz w:val="20"/>
                <w:szCs w:val="20"/>
                <w:lang w:val="id-ID"/>
              </w:rPr>
              <w:t>18,5</w:t>
            </w:r>
          </w:p>
        </w:tc>
        <w:tc>
          <w:tcPr>
            <w:tcW w:w="1505" w:type="dxa"/>
            <w:tcBorders>
              <w:top w:val="single" w:sz="4" w:space="0" w:color="auto"/>
              <w:left w:val="nil"/>
              <w:bottom w:val="nil"/>
              <w:right w:val="nil"/>
            </w:tcBorders>
          </w:tcPr>
          <w:p w14:paraId="60DE584A" w14:textId="77777777" w:rsidR="001E1631" w:rsidRPr="00E06E58" w:rsidRDefault="00064A81" w:rsidP="007D13A2">
            <w:pPr>
              <w:spacing w:line="276" w:lineRule="auto"/>
              <w:jc w:val="center"/>
              <w:rPr>
                <w:sz w:val="20"/>
                <w:szCs w:val="20"/>
                <w:lang w:val="id-ID"/>
              </w:rPr>
            </w:pPr>
            <w:r w:rsidRPr="00E06E58">
              <w:rPr>
                <w:sz w:val="20"/>
                <w:szCs w:val="20"/>
                <w:lang w:val="id-ID"/>
              </w:rPr>
              <w:t>20,0</w:t>
            </w:r>
          </w:p>
        </w:tc>
        <w:tc>
          <w:tcPr>
            <w:tcW w:w="1736" w:type="dxa"/>
            <w:vMerge w:val="restart"/>
            <w:tcBorders>
              <w:top w:val="single" w:sz="4" w:space="0" w:color="auto"/>
              <w:left w:val="nil"/>
              <w:bottom w:val="single" w:sz="4" w:space="0" w:color="auto"/>
              <w:right w:val="nil"/>
            </w:tcBorders>
          </w:tcPr>
          <w:p w14:paraId="4CEDED71" w14:textId="77777777" w:rsidR="001E1631" w:rsidRPr="00E06E58" w:rsidRDefault="001E1631" w:rsidP="007D13A2">
            <w:pPr>
              <w:spacing w:line="276" w:lineRule="auto"/>
              <w:jc w:val="center"/>
              <w:rPr>
                <w:sz w:val="20"/>
                <w:szCs w:val="20"/>
              </w:rPr>
            </w:pPr>
          </w:p>
          <w:p w14:paraId="5EBAEABB" w14:textId="77777777" w:rsidR="001E1631" w:rsidRPr="00E06E58" w:rsidRDefault="001E1631" w:rsidP="007D13A2">
            <w:pPr>
              <w:spacing w:line="276" w:lineRule="auto"/>
              <w:jc w:val="center"/>
              <w:rPr>
                <w:sz w:val="20"/>
                <w:szCs w:val="20"/>
                <w:lang w:val="id-ID"/>
              </w:rPr>
            </w:pPr>
            <w:r w:rsidRPr="00E06E58">
              <w:rPr>
                <w:sz w:val="20"/>
                <w:szCs w:val="20"/>
              </w:rPr>
              <w:t>0</w:t>
            </w:r>
            <w:r w:rsidR="00064A81" w:rsidRPr="00E06E58">
              <w:rPr>
                <w:sz w:val="20"/>
                <w:szCs w:val="20"/>
                <w:lang w:val="id-ID"/>
              </w:rPr>
              <w:t>,660</w:t>
            </w:r>
          </w:p>
        </w:tc>
      </w:tr>
      <w:tr w:rsidR="001E1631" w:rsidRPr="00E06E58" w14:paraId="796AD450" w14:textId="77777777" w:rsidTr="00E06E58">
        <w:trPr>
          <w:trHeight w:val="285"/>
        </w:trPr>
        <w:tc>
          <w:tcPr>
            <w:tcW w:w="2127" w:type="dxa"/>
            <w:tcBorders>
              <w:top w:val="nil"/>
              <w:left w:val="nil"/>
              <w:bottom w:val="nil"/>
              <w:right w:val="nil"/>
            </w:tcBorders>
            <w:hideMark/>
          </w:tcPr>
          <w:p w14:paraId="00E60BFE" w14:textId="77777777" w:rsidR="001E1631" w:rsidRPr="00E06E58" w:rsidRDefault="001E1631" w:rsidP="007D13A2">
            <w:pPr>
              <w:spacing w:line="276" w:lineRule="auto"/>
              <w:jc w:val="left"/>
              <w:rPr>
                <w:sz w:val="20"/>
                <w:szCs w:val="20"/>
              </w:rPr>
            </w:pPr>
            <w:r w:rsidRPr="00E06E58">
              <w:rPr>
                <w:sz w:val="20"/>
                <w:szCs w:val="20"/>
              </w:rPr>
              <w:t>K (+)</w:t>
            </w:r>
          </w:p>
        </w:tc>
        <w:tc>
          <w:tcPr>
            <w:tcW w:w="2693" w:type="dxa"/>
            <w:tcBorders>
              <w:top w:val="nil"/>
              <w:left w:val="nil"/>
              <w:bottom w:val="nil"/>
              <w:right w:val="nil"/>
            </w:tcBorders>
          </w:tcPr>
          <w:p w14:paraId="1466BCFC" w14:textId="77777777" w:rsidR="001E1631" w:rsidRPr="00E06E58" w:rsidRDefault="00064A81" w:rsidP="007D13A2">
            <w:pPr>
              <w:spacing w:line="276" w:lineRule="auto"/>
              <w:jc w:val="center"/>
              <w:rPr>
                <w:sz w:val="20"/>
                <w:szCs w:val="20"/>
                <w:lang w:val="id-ID"/>
              </w:rPr>
            </w:pPr>
            <w:r w:rsidRPr="00E06E58">
              <w:rPr>
                <w:sz w:val="20"/>
                <w:szCs w:val="20"/>
                <w:lang w:val="id-ID"/>
              </w:rPr>
              <w:t>20,0</w:t>
            </w:r>
          </w:p>
        </w:tc>
        <w:tc>
          <w:tcPr>
            <w:tcW w:w="1577" w:type="dxa"/>
            <w:tcBorders>
              <w:top w:val="nil"/>
              <w:left w:val="nil"/>
              <w:bottom w:val="nil"/>
              <w:right w:val="nil"/>
            </w:tcBorders>
          </w:tcPr>
          <w:p w14:paraId="446CBB62" w14:textId="77777777" w:rsidR="001E1631" w:rsidRPr="00E06E58" w:rsidRDefault="00064A81" w:rsidP="007D13A2">
            <w:pPr>
              <w:spacing w:line="276" w:lineRule="auto"/>
              <w:jc w:val="center"/>
              <w:rPr>
                <w:sz w:val="20"/>
                <w:szCs w:val="20"/>
                <w:lang w:val="id-ID"/>
              </w:rPr>
            </w:pPr>
            <w:r w:rsidRPr="00E06E58">
              <w:rPr>
                <w:sz w:val="20"/>
                <w:szCs w:val="20"/>
                <w:lang w:val="id-ID"/>
              </w:rPr>
              <w:t>19,1</w:t>
            </w:r>
          </w:p>
        </w:tc>
        <w:tc>
          <w:tcPr>
            <w:tcW w:w="1505" w:type="dxa"/>
            <w:tcBorders>
              <w:top w:val="nil"/>
              <w:left w:val="nil"/>
              <w:bottom w:val="nil"/>
              <w:right w:val="nil"/>
            </w:tcBorders>
          </w:tcPr>
          <w:p w14:paraId="1A5D678C" w14:textId="77777777" w:rsidR="001E1631" w:rsidRPr="00E06E58" w:rsidRDefault="00064A81" w:rsidP="007D13A2">
            <w:pPr>
              <w:spacing w:line="276" w:lineRule="auto"/>
              <w:jc w:val="center"/>
              <w:rPr>
                <w:sz w:val="20"/>
                <w:szCs w:val="20"/>
                <w:lang w:val="id-ID"/>
              </w:rPr>
            </w:pPr>
            <w:r w:rsidRPr="00E06E58">
              <w:rPr>
                <w:sz w:val="20"/>
                <w:szCs w:val="20"/>
                <w:lang w:val="id-ID"/>
              </w:rPr>
              <w:t>20,0</w:t>
            </w:r>
          </w:p>
        </w:tc>
        <w:tc>
          <w:tcPr>
            <w:tcW w:w="1736" w:type="dxa"/>
            <w:vMerge/>
            <w:tcBorders>
              <w:top w:val="single" w:sz="4" w:space="0" w:color="auto"/>
              <w:left w:val="nil"/>
              <w:bottom w:val="single" w:sz="4" w:space="0" w:color="auto"/>
              <w:right w:val="nil"/>
            </w:tcBorders>
            <w:vAlign w:val="center"/>
            <w:hideMark/>
          </w:tcPr>
          <w:p w14:paraId="0C5A25DA" w14:textId="77777777" w:rsidR="001E1631" w:rsidRPr="00E06E58" w:rsidRDefault="001E1631" w:rsidP="007D13A2">
            <w:pPr>
              <w:spacing w:line="276" w:lineRule="auto"/>
              <w:rPr>
                <w:sz w:val="20"/>
                <w:szCs w:val="20"/>
              </w:rPr>
            </w:pPr>
          </w:p>
        </w:tc>
      </w:tr>
      <w:tr w:rsidR="001E1631" w:rsidRPr="00E06E58" w14:paraId="135F999F" w14:textId="77777777" w:rsidTr="00E06E58">
        <w:trPr>
          <w:trHeight w:val="301"/>
        </w:trPr>
        <w:tc>
          <w:tcPr>
            <w:tcW w:w="2127" w:type="dxa"/>
            <w:tcBorders>
              <w:top w:val="nil"/>
              <w:left w:val="nil"/>
              <w:bottom w:val="single" w:sz="4" w:space="0" w:color="auto"/>
              <w:right w:val="nil"/>
            </w:tcBorders>
            <w:hideMark/>
          </w:tcPr>
          <w:p w14:paraId="12600324" w14:textId="77777777" w:rsidR="001E1631" w:rsidRPr="00E06E58" w:rsidRDefault="001E1631" w:rsidP="007D13A2">
            <w:pPr>
              <w:spacing w:line="276" w:lineRule="auto"/>
              <w:jc w:val="left"/>
              <w:rPr>
                <w:sz w:val="20"/>
                <w:szCs w:val="20"/>
              </w:rPr>
            </w:pPr>
            <w:r w:rsidRPr="00E06E58">
              <w:rPr>
                <w:sz w:val="20"/>
                <w:szCs w:val="20"/>
              </w:rPr>
              <w:t>P</w:t>
            </w:r>
          </w:p>
        </w:tc>
        <w:tc>
          <w:tcPr>
            <w:tcW w:w="2693" w:type="dxa"/>
            <w:tcBorders>
              <w:top w:val="nil"/>
              <w:left w:val="nil"/>
              <w:bottom w:val="single" w:sz="4" w:space="0" w:color="auto"/>
              <w:right w:val="nil"/>
            </w:tcBorders>
          </w:tcPr>
          <w:p w14:paraId="08653C25" w14:textId="77777777" w:rsidR="001E1631" w:rsidRPr="00E06E58" w:rsidRDefault="00064A81" w:rsidP="007D13A2">
            <w:pPr>
              <w:spacing w:line="276" w:lineRule="auto"/>
              <w:jc w:val="center"/>
              <w:rPr>
                <w:sz w:val="20"/>
                <w:szCs w:val="20"/>
                <w:lang w:val="id-ID"/>
              </w:rPr>
            </w:pPr>
            <w:r w:rsidRPr="00E06E58">
              <w:rPr>
                <w:sz w:val="20"/>
                <w:szCs w:val="20"/>
                <w:lang w:val="id-ID"/>
              </w:rPr>
              <w:t>20,0</w:t>
            </w:r>
          </w:p>
        </w:tc>
        <w:tc>
          <w:tcPr>
            <w:tcW w:w="1577" w:type="dxa"/>
            <w:tcBorders>
              <w:top w:val="nil"/>
              <w:left w:val="nil"/>
              <w:bottom w:val="single" w:sz="4" w:space="0" w:color="auto"/>
              <w:right w:val="nil"/>
            </w:tcBorders>
          </w:tcPr>
          <w:p w14:paraId="2EC11688" w14:textId="77777777" w:rsidR="001E1631" w:rsidRPr="00E06E58" w:rsidRDefault="00064A81" w:rsidP="007D13A2">
            <w:pPr>
              <w:spacing w:line="276" w:lineRule="auto"/>
              <w:jc w:val="center"/>
              <w:rPr>
                <w:sz w:val="20"/>
                <w:szCs w:val="20"/>
                <w:lang w:val="id-ID"/>
              </w:rPr>
            </w:pPr>
            <w:r w:rsidRPr="00E06E58">
              <w:rPr>
                <w:sz w:val="20"/>
                <w:szCs w:val="20"/>
                <w:lang w:val="id-ID"/>
              </w:rPr>
              <w:t>18,6</w:t>
            </w:r>
          </w:p>
        </w:tc>
        <w:tc>
          <w:tcPr>
            <w:tcW w:w="1505" w:type="dxa"/>
            <w:tcBorders>
              <w:top w:val="nil"/>
              <w:left w:val="nil"/>
              <w:bottom w:val="single" w:sz="4" w:space="0" w:color="auto"/>
              <w:right w:val="nil"/>
            </w:tcBorders>
          </w:tcPr>
          <w:p w14:paraId="408A36FF" w14:textId="77777777" w:rsidR="001E1631" w:rsidRPr="00E06E58" w:rsidRDefault="00064A81" w:rsidP="007D13A2">
            <w:pPr>
              <w:spacing w:line="276" w:lineRule="auto"/>
              <w:jc w:val="center"/>
              <w:rPr>
                <w:sz w:val="20"/>
                <w:szCs w:val="20"/>
                <w:lang w:val="id-ID"/>
              </w:rPr>
            </w:pPr>
            <w:r w:rsidRPr="00E06E58">
              <w:rPr>
                <w:sz w:val="20"/>
                <w:szCs w:val="20"/>
                <w:lang w:val="id-ID"/>
              </w:rPr>
              <w:t>20,0</w:t>
            </w:r>
          </w:p>
        </w:tc>
        <w:tc>
          <w:tcPr>
            <w:tcW w:w="1736" w:type="dxa"/>
            <w:vMerge/>
            <w:tcBorders>
              <w:top w:val="single" w:sz="4" w:space="0" w:color="auto"/>
              <w:left w:val="nil"/>
              <w:bottom w:val="single" w:sz="4" w:space="0" w:color="auto"/>
              <w:right w:val="nil"/>
            </w:tcBorders>
            <w:vAlign w:val="center"/>
            <w:hideMark/>
          </w:tcPr>
          <w:p w14:paraId="116CBB71" w14:textId="77777777" w:rsidR="001E1631" w:rsidRPr="00E06E58" w:rsidRDefault="001E1631" w:rsidP="007D13A2">
            <w:pPr>
              <w:spacing w:line="276" w:lineRule="auto"/>
              <w:rPr>
                <w:sz w:val="20"/>
                <w:szCs w:val="20"/>
              </w:rPr>
            </w:pPr>
          </w:p>
        </w:tc>
      </w:tr>
    </w:tbl>
    <w:p w14:paraId="55952BBF" w14:textId="77777777" w:rsidR="00FA2344" w:rsidRPr="0042741B" w:rsidRDefault="00FA2344" w:rsidP="00FA2344">
      <w:pPr>
        <w:spacing w:line="276" w:lineRule="auto"/>
        <w:rPr>
          <w:sz w:val="20"/>
          <w:lang w:val="nl-NL"/>
        </w:rPr>
      </w:pPr>
      <w:r>
        <w:rPr>
          <w:sz w:val="20"/>
          <w:lang w:val="id-ID"/>
        </w:rPr>
        <w:t xml:space="preserve">Keterangan: </w:t>
      </w:r>
      <w:r w:rsidRPr="0042741B">
        <w:rPr>
          <w:sz w:val="20"/>
          <w:lang w:val="nl-NL"/>
        </w:rPr>
        <w:t xml:space="preserve">Uji </w:t>
      </w:r>
      <w:r w:rsidRPr="0042741B">
        <w:rPr>
          <w:i/>
          <w:sz w:val="20"/>
          <w:lang w:val="nl-NL"/>
        </w:rPr>
        <w:t xml:space="preserve">Kruskal-Wallis </w:t>
      </w:r>
      <w:r w:rsidRPr="0042741B">
        <w:rPr>
          <w:sz w:val="20"/>
          <w:lang w:val="nl-NL"/>
        </w:rPr>
        <w:t xml:space="preserve">dengan p &lt; </w:t>
      </w:r>
      <w:r>
        <w:rPr>
          <w:sz w:val="20"/>
          <w:lang w:val="en-GB"/>
        </w:rPr>
        <w:t>α</w:t>
      </w:r>
      <w:r w:rsidRPr="0042741B">
        <w:rPr>
          <w:sz w:val="20"/>
          <w:lang w:val="nl-NL"/>
        </w:rPr>
        <w:t xml:space="preserve"> (</w:t>
      </w:r>
      <w:r>
        <w:rPr>
          <w:sz w:val="20"/>
          <w:lang w:val="en-GB"/>
        </w:rPr>
        <w:t>α</w:t>
      </w:r>
      <w:r w:rsidRPr="0042741B">
        <w:rPr>
          <w:sz w:val="20"/>
          <w:lang w:val="nl-NL"/>
        </w:rPr>
        <w:t xml:space="preserve"> = 0,05) menunjukkan signifikan</w:t>
      </w:r>
    </w:p>
    <w:p w14:paraId="0B336124" w14:textId="77777777" w:rsidR="002B7D68" w:rsidRDefault="002B7D68" w:rsidP="007D13A2">
      <w:pPr>
        <w:spacing w:line="276" w:lineRule="auto"/>
        <w:rPr>
          <w:lang w:val="id-ID"/>
        </w:rPr>
      </w:pPr>
    </w:p>
    <w:p w14:paraId="4D224AC4" w14:textId="77777777" w:rsidR="001E1631" w:rsidRPr="00CB3864" w:rsidRDefault="001E1631" w:rsidP="007D13A2">
      <w:pPr>
        <w:spacing w:line="276" w:lineRule="auto"/>
        <w:ind w:firstLine="567"/>
        <w:rPr>
          <w:bCs/>
          <w:szCs w:val="24"/>
          <w:lang w:val="id-ID"/>
        </w:rPr>
      </w:pPr>
      <w:r>
        <w:rPr>
          <w:lang w:val="id-ID"/>
        </w:rPr>
        <w:t xml:space="preserve">Berdasarkan Tabel 3 hasil uji </w:t>
      </w:r>
      <w:r>
        <w:rPr>
          <w:i/>
          <w:lang w:val="id-ID"/>
        </w:rPr>
        <w:t xml:space="preserve">Kruskal wallis </w:t>
      </w:r>
      <w:r w:rsidR="00064A81">
        <w:rPr>
          <w:lang w:val="id-ID"/>
        </w:rPr>
        <w:t xml:space="preserve">didapatkan </w:t>
      </w:r>
      <w:r w:rsidR="00064A81">
        <w:rPr>
          <w:bCs/>
          <w:szCs w:val="24"/>
          <w:lang w:val="id-ID"/>
        </w:rPr>
        <w:t>nilai signifikansi p = 0,660 (p &gt; 0,05)</w:t>
      </w:r>
      <w:r w:rsidR="00064A81">
        <w:rPr>
          <w:i/>
          <w:lang w:val="id-ID"/>
        </w:rPr>
        <w:t xml:space="preserve"> </w:t>
      </w:r>
      <w:r w:rsidR="00064A81">
        <w:rPr>
          <w:lang w:val="id-ID"/>
        </w:rPr>
        <w:t xml:space="preserve">yang berarti </w:t>
      </w:r>
      <w:r w:rsidR="00064A81" w:rsidRPr="00C74B83">
        <w:rPr>
          <w:bCs/>
          <w:szCs w:val="24"/>
          <w:lang w:val="id-ID"/>
        </w:rPr>
        <w:t xml:space="preserve">tidak ada perbedaan yang signifikan dari asupan pakan antar </w:t>
      </w:r>
      <w:r w:rsidR="0083796D">
        <w:rPr>
          <w:bCs/>
          <w:szCs w:val="24"/>
          <w:lang w:val="id-ID"/>
        </w:rPr>
        <w:t>kelompok</w:t>
      </w:r>
      <w:r w:rsidR="008977B7">
        <w:rPr>
          <w:bCs/>
          <w:szCs w:val="24"/>
          <w:lang w:val="id-ID"/>
        </w:rPr>
        <w:t xml:space="preserve">. </w:t>
      </w:r>
      <w:r w:rsidR="00AD5482" w:rsidRPr="0042741B">
        <w:rPr>
          <w:bCs/>
          <w:szCs w:val="24"/>
          <w:lang w:val="id-ID"/>
        </w:rPr>
        <w:t xml:space="preserve">Sehingga dapat dikatakan bahwa rerata jumlah intake makanan antar kelompok </w:t>
      </w:r>
      <w:r w:rsidR="0083796D" w:rsidRPr="0042741B">
        <w:rPr>
          <w:bCs/>
          <w:szCs w:val="24"/>
          <w:lang w:val="id-ID"/>
        </w:rPr>
        <w:t xml:space="preserve">selama perlakuan yaitu sama. </w:t>
      </w:r>
      <w:r w:rsidR="00AD5482" w:rsidRPr="0042741B">
        <w:rPr>
          <w:bCs/>
          <w:szCs w:val="24"/>
          <w:lang w:val="id-ID"/>
        </w:rPr>
        <w:t>Jumlah pakan standar</w:t>
      </w:r>
      <w:r w:rsidRPr="00C74B83">
        <w:rPr>
          <w:bCs/>
          <w:szCs w:val="24"/>
          <w:lang w:val="id-ID"/>
        </w:rPr>
        <w:t xml:space="preserve"> yang diberikan</w:t>
      </w:r>
      <w:r w:rsidR="00AD5482">
        <w:rPr>
          <w:bCs/>
          <w:szCs w:val="24"/>
          <w:lang w:val="id-ID"/>
        </w:rPr>
        <w:t xml:space="preserve"> pada masing-masing tikus </w:t>
      </w:r>
      <w:r w:rsidR="0083796D" w:rsidRPr="0042741B">
        <w:rPr>
          <w:bCs/>
          <w:szCs w:val="24"/>
          <w:lang w:val="id-ID"/>
        </w:rPr>
        <w:t xml:space="preserve">sebanyak </w:t>
      </w:r>
      <w:r w:rsidR="008977B7">
        <w:rPr>
          <w:bCs/>
          <w:szCs w:val="24"/>
          <w:lang w:val="id-ID"/>
        </w:rPr>
        <w:t>20 g/hari.</w:t>
      </w:r>
      <w:r w:rsidR="008977B7" w:rsidRPr="0042741B">
        <w:rPr>
          <w:bCs/>
          <w:szCs w:val="24"/>
          <w:lang w:val="id-ID"/>
        </w:rPr>
        <w:t xml:space="preserve"> Data </w:t>
      </w:r>
      <w:r w:rsidR="00AD5482" w:rsidRPr="0042741B">
        <w:rPr>
          <w:bCs/>
          <w:szCs w:val="24"/>
          <w:lang w:val="id-ID"/>
        </w:rPr>
        <w:t xml:space="preserve">asupan pakan selama perlakuan didapatkan dari penimbangan sisa pakan setiap hari. </w:t>
      </w:r>
      <w:r w:rsidR="008977B7">
        <w:rPr>
          <w:bCs/>
          <w:szCs w:val="24"/>
          <w:lang w:val="en-GB"/>
        </w:rPr>
        <w:t>K</w:t>
      </w:r>
      <w:r w:rsidRPr="00CB3864">
        <w:rPr>
          <w:bCs/>
          <w:szCs w:val="24"/>
          <w:lang w:val="id-ID"/>
        </w:rPr>
        <w:t>ebutuhan pakan tikus per ekor adalah 10 – 20 g/hari.</w:t>
      </w:r>
      <w:r w:rsidR="00CB3864" w:rsidRPr="00D04037">
        <w:rPr>
          <w:bCs/>
          <w:szCs w:val="24"/>
          <w:lang w:val="id-ID"/>
        </w:rPr>
        <w:fldChar w:fldCharType="begin" w:fldLock="1"/>
      </w:r>
      <w:r w:rsidR="00650E80">
        <w:rPr>
          <w:bCs/>
          <w:szCs w:val="24"/>
          <w:lang w:val="id-ID"/>
        </w:rPr>
        <w:instrText>ADDIN CSL_CITATION {"citationItems":[{"id":"ITEM-1","itemData":{"author":[{"dropping-particle":"","family":"Hernowati","given":"Tinny Endang","non-dropping-particle":"","parse-names":false,"suffix":""},{"dropping-particle":"","family":"Susanto","given":"Hendra","non-dropping-particle":"","parse-names":false,"suffix":""},{"dropping-particle":"","family":"Therik","given":"Johannis W. D.","non-dropping-particle":"","parse-names":false,"suffix":""}],"id":"ITEM-1","issued":{"date-parts":[["2009"]]},"publisher":"Universitas Brawijaya","publisher-place":"Jakarta","title":"Efek nutrisional tepung daun kelor (moringa oleifera) varietas NTT terhadap status gizi tikus wistar KEP (Kurang Energi Protein)","type":"book"},"uris":["http://www.mendeley.com/documents/?uuid=c4d68127-d6fc-4002-9c76-2849efc857eb"]}],"mendeley":{"formattedCitation":"&lt;sup&gt;18&lt;/sup&gt;","plainTextFormattedCitation":"18","previouslyFormattedCitation":"&lt;sup&gt;18&lt;/sup&gt;"},"properties":{"noteIndex":0},"schema":"https://github.com/citation-style-language/schema/raw/master/csl-citation.json"}</w:instrText>
      </w:r>
      <w:r w:rsidR="00CB3864" w:rsidRPr="00D04037">
        <w:rPr>
          <w:bCs/>
          <w:szCs w:val="24"/>
          <w:lang w:val="id-ID"/>
        </w:rPr>
        <w:fldChar w:fldCharType="separate"/>
      </w:r>
      <w:r w:rsidR="004E5F0B" w:rsidRPr="004E5F0B">
        <w:rPr>
          <w:bCs/>
          <w:noProof/>
          <w:szCs w:val="24"/>
          <w:vertAlign w:val="superscript"/>
          <w:lang w:val="id-ID"/>
        </w:rPr>
        <w:t>18</w:t>
      </w:r>
      <w:r w:rsidR="00CB3864" w:rsidRPr="00D04037">
        <w:rPr>
          <w:bCs/>
          <w:szCs w:val="24"/>
          <w:lang w:val="id-ID"/>
        </w:rPr>
        <w:fldChar w:fldCharType="end"/>
      </w:r>
      <w:r w:rsidRPr="00CB3864">
        <w:rPr>
          <w:bCs/>
          <w:szCs w:val="24"/>
          <w:lang w:val="id-ID"/>
        </w:rPr>
        <w:t xml:space="preserve"> </w:t>
      </w:r>
    </w:p>
    <w:p w14:paraId="379B0CE2" w14:textId="77777777" w:rsidR="00064A81" w:rsidRPr="00CB3864" w:rsidRDefault="00064A81" w:rsidP="007D13A2">
      <w:pPr>
        <w:spacing w:line="276" w:lineRule="auto"/>
        <w:rPr>
          <w:lang w:val="id-ID"/>
        </w:rPr>
      </w:pPr>
    </w:p>
    <w:p w14:paraId="5249FF1C" w14:textId="77777777" w:rsidR="00E06E58" w:rsidRPr="00E06E58" w:rsidRDefault="00E06E58" w:rsidP="00BE5F99">
      <w:pPr>
        <w:spacing w:line="276" w:lineRule="auto"/>
        <w:rPr>
          <w:b/>
          <w:lang w:val="id-ID"/>
        </w:rPr>
      </w:pPr>
      <w:r w:rsidRPr="00E06E58">
        <w:rPr>
          <w:b/>
          <w:lang w:val="id-ID"/>
        </w:rPr>
        <w:t>Analisis Asupan Air Minum selama Perlakuan</w:t>
      </w:r>
    </w:p>
    <w:p w14:paraId="7BCCBA2C" w14:textId="72D4C6BF" w:rsidR="00064A81" w:rsidRDefault="003F381C" w:rsidP="003F381C">
      <w:pPr>
        <w:spacing w:line="276" w:lineRule="auto"/>
        <w:ind w:firstLine="567"/>
      </w:pPr>
      <w:proofErr w:type="spellStart"/>
      <w:r>
        <w:rPr>
          <w:lang w:val="en-GB"/>
        </w:rPr>
        <w:t>Analisis</w:t>
      </w:r>
      <w:proofErr w:type="spellEnd"/>
      <w:r>
        <w:rPr>
          <w:lang w:val="en-GB"/>
        </w:rPr>
        <w:t xml:space="preserve"> </w:t>
      </w:r>
      <w:proofErr w:type="spellStart"/>
      <w:r>
        <w:rPr>
          <w:lang w:val="en-GB"/>
        </w:rPr>
        <w:t>asupan</w:t>
      </w:r>
      <w:proofErr w:type="spellEnd"/>
      <w:r>
        <w:rPr>
          <w:lang w:val="en-GB"/>
        </w:rPr>
        <w:t xml:space="preserve"> air </w:t>
      </w:r>
      <w:proofErr w:type="spellStart"/>
      <w:r>
        <w:rPr>
          <w:lang w:val="en-GB"/>
        </w:rPr>
        <w:t>minum</w:t>
      </w:r>
      <w:proofErr w:type="spellEnd"/>
      <w:r>
        <w:rPr>
          <w:lang w:val="en-GB"/>
        </w:rPr>
        <w:t xml:space="preserve"> </w:t>
      </w:r>
      <w:proofErr w:type="spellStart"/>
      <w:r>
        <w:rPr>
          <w:lang w:val="en-GB"/>
        </w:rPr>
        <w:t>bertujuan</w:t>
      </w:r>
      <w:proofErr w:type="spellEnd"/>
      <w:r>
        <w:rPr>
          <w:lang w:val="en-GB"/>
        </w:rPr>
        <w:t xml:space="preserve"> </w:t>
      </w:r>
      <w:proofErr w:type="spellStart"/>
      <w:r>
        <w:rPr>
          <w:lang w:val="en-GB"/>
        </w:rPr>
        <w:t>untuk</w:t>
      </w:r>
      <w:proofErr w:type="spellEnd"/>
      <w:r>
        <w:rPr>
          <w:lang w:val="en-GB"/>
        </w:rPr>
        <w:t xml:space="preserve"> </w:t>
      </w:r>
      <w:proofErr w:type="spellStart"/>
      <w:r>
        <w:rPr>
          <w:lang w:val="en-GB"/>
        </w:rPr>
        <w:t>menganalisis</w:t>
      </w:r>
      <w:proofErr w:type="spellEnd"/>
      <w:r>
        <w:rPr>
          <w:lang w:val="en-GB"/>
        </w:rPr>
        <w:t xml:space="preserve"> </w:t>
      </w:r>
      <w:proofErr w:type="spellStart"/>
      <w:r>
        <w:rPr>
          <w:lang w:val="en-GB"/>
        </w:rPr>
        <w:t>perbedaan</w:t>
      </w:r>
      <w:proofErr w:type="spellEnd"/>
      <w:r>
        <w:rPr>
          <w:lang w:val="en-GB"/>
        </w:rPr>
        <w:t xml:space="preserve"> </w:t>
      </w:r>
      <w:proofErr w:type="spellStart"/>
      <w:r>
        <w:rPr>
          <w:lang w:val="en-GB"/>
        </w:rPr>
        <w:t>asupan</w:t>
      </w:r>
      <w:proofErr w:type="spellEnd"/>
      <w:r>
        <w:rPr>
          <w:lang w:val="en-GB"/>
        </w:rPr>
        <w:t xml:space="preserve"> air </w:t>
      </w:r>
      <w:proofErr w:type="spellStart"/>
      <w:r>
        <w:rPr>
          <w:lang w:val="en-GB"/>
        </w:rPr>
        <w:t>minum</w:t>
      </w:r>
      <w:proofErr w:type="spellEnd"/>
      <w:r>
        <w:rPr>
          <w:lang w:val="en-GB"/>
        </w:rPr>
        <w:t xml:space="preserve"> </w:t>
      </w:r>
      <w:proofErr w:type="spellStart"/>
      <w:r>
        <w:rPr>
          <w:lang w:val="en-GB"/>
        </w:rPr>
        <w:t>antar</w:t>
      </w:r>
      <w:proofErr w:type="spellEnd"/>
      <w:r>
        <w:rPr>
          <w:lang w:val="en-GB"/>
        </w:rPr>
        <w:t xml:space="preserve"> </w:t>
      </w:r>
      <w:proofErr w:type="spellStart"/>
      <w:r>
        <w:rPr>
          <w:lang w:val="en-GB"/>
        </w:rPr>
        <w:t>kelompok</w:t>
      </w:r>
      <w:proofErr w:type="spellEnd"/>
      <w:r>
        <w:rPr>
          <w:lang w:val="en-GB"/>
        </w:rPr>
        <w:t xml:space="preserve"> </w:t>
      </w:r>
      <w:proofErr w:type="spellStart"/>
      <w:r>
        <w:rPr>
          <w:lang w:val="en-GB"/>
        </w:rPr>
        <w:t>selama</w:t>
      </w:r>
      <w:proofErr w:type="spellEnd"/>
      <w:r>
        <w:rPr>
          <w:lang w:val="en-GB"/>
        </w:rPr>
        <w:t xml:space="preserve"> </w:t>
      </w:r>
      <w:proofErr w:type="spellStart"/>
      <w:r>
        <w:rPr>
          <w:lang w:val="en-GB"/>
        </w:rPr>
        <w:t>perlakuan</w:t>
      </w:r>
      <w:proofErr w:type="spellEnd"/>
      <w:r>
        <w:rPr>
          <w:lang w:val="en-GB"/>
        </w:rPr>
        <w:t xml:space="preserve">. </w:t>
      </w:r>
      <w:r w:rsidR="00064A81">
        <w:rPr>
          <w:lang w:val="id-ID"/>
        </w:rPr>
        <w:t>Hasil uji normalitas dan homogenitas menunjukkan data berdistribusi normal dan homogen</w:t>
      </w:r>
      <w:r w:rsidR="00FF30F4">
        <w:rPr>
          <w:lang w:val="id-ID"/>
        </w:rPr>
        <w:t xml:space="preserve"> dengan nilai p &gt; 0,05. Maka</w:t>
      </w:r>
      <w:r w:rsidR="00064A81">
        <w:rPr>
          <w:lang w:val="id-ID"/>
        </w:rPr>
        <w:t xml:space="preserve"> </w:t>
      </w:r>
      <w:r w:rsidR="001E6E0B">
        <w:rPr>
          <w:lang w:val="id-ID"/>
        </w:rPr>
        <w:t>dilanjutkan</w:t>
      </w:r>
      <w:r w:rsidR="00064A81">
        <w:rPr>
          <w:lang w:val="id-ID"/>
        </w:rPr>
        <w:t xml:space="preserve"> uji </w:t>
      </w:r>
      <w:r w:rsidR="00064A81">
        <w:rPr>
          <w:i/>
          <w:lang w:val="id-ID"/>
        </w:rPr>
        <w:t xml:space="preserve">One Way Anova </w:t>
      </w:r>
      <w:r w:rsidR="001E6E0B">
        <w:rPr>
          <w:lang w:val="id-ID"/>
        </w:rPr>
        <w:t>dan</w:t>
      </w:r>
      <w:r w:rsidR="00064A81">
        <w:rPr>
          <w:lang w:val="id-ID"/>
        </w:rPr>
        <w:t xml:space="preserve"> </w:t>
      </w:r>
      <w:r w:rsidR="00064A81">
        <w:rPr>
          <w:i/>
          <w:lang w:val="id-ID"/>
        </w:rPr>
        <w:t xml:space="preserve">Post Hoc </w:t>
      </w:r>
      <w:r w:rsidR="00064A81">
        <w:rPr>
          <w:lang w:val="id-ID"/>
        </w:rPr>
        <w:t xml:space="preserve">yang dapat dilihat pada </w:t>
      </w:r>
      <w:proofErr w:type="spellStart"/>
      <w:r w:rsidR="00BE5F99">
        <w:t>Tabel</w:t>
      </w:r>
      <w:proofErr w:type="spellEnd"/>
      <w:r w:rsidR="00BE5F99">
        <w:t xml:space="preserve"> 4</w:t>
      </w:r>
      <w:r w:rsidR="008A1054">
        <w:t>.</w:t>
      </w:r>
    </w:p>
    <w:p w14:paraId="67D9936E" w14:textId="20F9E184" w:rsidR="008A1054" w:rsidRPr="008A1054" w:rsidRDefault="008A1054" w:rsidP="003F381C">
      <w:pPr>
        <w:spacing w:line="276" w:lineRule="auto"/>
        <w:ind w:firstLine="567"/>
      </w:pPr>
      <w:r>
        <w:rPr>
          <w:lang w:val="id-ID"/>
        </w:rPr>
        <w:t xml:space="preserve">Berdasarkan Tabel 4 </w:t>
      </w:r>
      <w:proofErr w:type="spellStart"/>
      <w:r>
        <w:rPr>
          <w:szCs w:val="24"/>
        </w:rPr>
        <w:t>hasil</w:t>
      </w:r>
      <w:proofErr w:type="spellEnd"/>
      <w:r>
        <w:rPr>
          <w:szCs w:val="24"/>
        </w:rPr>
        <w:t xml:space="preserve"> uji </w:t>
      </w:r>
      <w:r w:rsidRPr="00304837">
        <w:rPr>
          <w:i/>
          <w:szCs w:val="24"/>
        </w:rPr>
        <w:t xml:space="preserve">One Way </w:t>
      </w:r>
      <w:proofErr w:type="spellStart"/>
      <w:r w:rsidRPr="00304837">
        <w:rPr>
          <w:i/>
          <w:szCs w:val="24"/>
        </w:rPr>
        <w:t>Anova</w:t>
      </w:r>
      <w:proofErr w:type="spellEnd"/>
      <w:r>
        <w:rPr>
          <w:szCs w:val="24"/>
        </w:rPr>
        <w:t xml:space="preserve"> </w:t>
      </w:r>
      <w:proofErr w:type="spellStart"/>
      <w:r>
        <w:rPr>
          <w:szCs w:val="24"/>
        </w:rPr>
        <w:t>didapatkan</w:t>
      </w:r>
      <w:proofErr w:type="spellEnd"/>
      <w:r>
        <w:rPr>
          <w:szCs w:val="24"/>
        </w:rPr>
        <w:t xml:space="preserve"> </w:t>
      </w:r>
      <w:proofErr w:type="spellStart"/>
      <w:r>
        <w:rPr>
          <w:szCs w:val="24"/>
        </w:rPr>
        <w:t>nilai</w:t>
      </w:r>
      <w:proofErr w:type="spellEnd"/>
      <w:r>
        <w:rPr>
          <w:szCs w:val="24"/>
        </w:rPr>
        <w:t xml:space="preserve"> </w:t>
      </w:r>
      <w:proofErr w:type="spellStart"/>
      <w:r>
        <w:rPr>
          <w:szCs w:val="24"/>
        </w:rPr>
        <w:t>signifikansi</w:t>
      </w:r>
      <w:proofErr w:type="spellEnd"/>
      <w:r>
        <w:rPr>
          <w:szCs w:val="24"/>
        </w:rPr>
        <w:t xml:space="preserve"> p = 0,000 (p &lt; 0,05) </w:t>
      </w:r>
      <w:r>
        <w:t xml:space="preserve">yang </w:t>
      </w:r>
      <w:proofErr w:type="spellStart"/>
      <w:r>
        <w:t>berarti</w:t>
      </w:r>
      <w:proofErr w:type="spellEnd"/>
      <w:r>
        <w:t xml:space="preserve"> </w:t>
      </w:r>
      <w:proofErr w:type="spellStart"/>
      <w:r>
        <w:t>terdapat</w:t>
      </w:r>
      <w:proofErr w:type="spellEnd"/>
      <w:r>
        <w:t xml:space="preserve"> </w:t>
      </w:r>
      <w:proofErr w:type="spellStart"/>
      <w:r>
        <w:t>perbedaan</w:t>
      </w:r>
      <w:proofErr w:type="spellEnd"/>
      <w:r>
        <w:t xml:space="preserve"> </w:t>
      </w:r>
      <w:proofErr w:type="spellStart"/>
      <w:r>
        <w:t>asupan</w:t>
      </w:r>
      <w:proofErr w:type="spellEnd"/>
      <w:r>
        <w:t xml:space="preserve"> air </w:t>
      </w:r>
      <w:proofErr w:type="spellStart"/>
      <w:r>
        <w:t>minum</w:t>
      </w:r>
      <w:proofErr w:type="spellEnd"/>
      <w:r>
        <w:t xml:space="preserve"> </w:t>
      </w:r>
      <w:proofErr w:type="spellStart"/>
      <w:r>
        <w:t>antara</w:t>
      </w:r>
      <w:proofErr w:type="spellEnd"/>
      <w:r>
        <w:t xml:space="preserve"> </w:t>
      </w:r>
      <w:proofErr w:type="spellStart"/>
      <w:r>
        <w:t>ketiga</w:t>
      </w:r>
      <w:proofErr w:type="spellEnd"/>
      <w:r>
        <w:t xml:space="preserve"> </w:t>
      </w:r>
      <w:proofErr w:type="spellStart"/>
      <w:r>
        <w:t>kelompok</w:t>
      </w:r>
      <w:proofErr w:type="spellEnd"/>
      <w:r>
        <w:t xml:space="preserve"> </w:t>
      </w:r>
      <w:proofErr w:type="spellStart"/>
      <w:r>
        <w:t>selama</w:t>
      </w:r>
      <w:proofErr w:type="spellEnd"/>
      <w:r>
        <w:t xml:space="preserve"> </w:t>
      </w:r>
      <w:proofErr w:type="spellStart"/>
      <w:r>
        <w:t>perlakuan</w:t>
      </w:r>
      <w:proofErr w:type="spellEnd"/>
      <w:r>
        <w:rPr>
          <w:lang w:val="id-ID"/>
        </w:rPr>
        <w:t>.</w:t>
      </w:r>
      <w:r>
        <w:rPr>
          <w:szCs w:val="24"/>
          <w:lang w:val="id-ID"/>
        </w:rPr>
        <w:t xml:space="preserve"> Berdasarkan hasil uji </w:t>
      </w:r>
      <w:r>
        <w:rPr>
          <w:i/>
          <w:lang w:val="id-ID"/>
        </w:rPr>
        <w:t xml:space="preserve">Post Hoc </w:t>
      </w:r>
      <w:r>
        <w:rPr>
          <w:lang w:val="id-ID"/>
        </w:rPr>
        <w:t xml:space="preserve">dapat diketahui bahwa kelompok yang mengalami perbedaan bermakna yaitu kelompok K(-) dengan P dan K(+) dengan P, sedangkan kelompok (K-) dengan K(+) tidak ada perbedaan. Hal ini </w:t>
      </w:r>
      <w:r>
        <w:rPr>
          <w:lang w:val="id-ID"/>
        </w:rPr>
        <w:lastRenderedPageBreak/>
        <w:t>disebabkan karena</w:t>
      </w:r>
      <w:r>
        <w:rPr>
          <w:szCs w:val="24"/>
          <w:lang w:val="id-ID"/>
        </w:rPr>
        <w:t xml:space="preserve"> </w:t>
      </w:r>
      <w:r w:rsidRPr="00C74B83">
        <w:rPr>
          <w:szCs w:val="24"/>
          <w:lang w:val="nl-NL"/>
        </w:rPr>
        <w:t xml:space="preserve">pada kelompok perlakuan diberi minuman sinom sebanyak 6 ml/hari selama intervensi. </w:t>
      </w:r>
      <w:r>
        <w:rPr>
          <w:bCs/>
          <w:szCs w:val="24"/>
          <w:lang w:val="nl-NL"/>
        </w:rPr>
        <w:t>T</w:t>
      </w:r>
      <w:r w:rsidRPr="00C74B83">
        <w:rPr>
          <w:bCs/>
          <w:szCs w:val="24"/>
          <w:lang w:val="nl-NL"/>
        </w:rPr>
        <w:t>ikus mengonsumsi air sekitar 10 ml/100 gBB/hari.</w:t>
      </w:r>
      <w:r>
        <w:rPr>
          <w:bCs/>
          <w:szCs w:val="24"/>
          <w:lang w:val="nl-NL"/>
        </w:rPr>
        <w:fldChar w:fldCharType="begin" w:fldLock="1"/>
      </w:r>
      <w:r>
        <w:rPr>
          <w:bCs/>
          <w:szCs w:val="24"/>
          <w:lang w:val="nl-NL"/>
        </w:rPr>
        <w:instrText>ADDIN CSL_CITATION {"citationItems":[{"id":"ITEM-1","itemData":{"ISBN":"1-55910-052-4","author":[{"dropping-particle":"","family":"Moore","given":"David M.","non-dropping-particle":"","parse-names":false,"suffix":""}],"id":"ITEM-1","issued":{"date-parts":[["2000"]]},"number-of-pages":"1-23","publisher":"University of Washington","title":"The Laboratory Animal Medicine And Science","type":"book"},"uris":["http://www.mendeley.com/documents/?uuid=5816030e-82ee-420a-b798-876f81dbb13a"]}],"mendeley":{"formattedCitation":"&lt;sup&gt;19&lt;/sup&gt;","plainTextFormattedCitation":"19","previouslyFormattedCitation":"&lt;sup&gt;19&lt;/sup&gt;"},"properties":{"noteIndex":0},"schema":"https://github.com/citation-style-language/schema/raw/master/csl-citation.json"}</w:instrText>
      </w:r>
      <w:r>
        <w:rPr>
          <w:bCs/>
          <w:szCs w:val="24"/>
          <w:lang w:val="nl-NL"/>
        </w:rPr>
        <w:fldChar w:fldCharType="separate"/>
      </w:r>
      <w:r w:rsidRPr="004E5F0B">
        <w:rPr>
          <w:bCs/>
          <w:noProof/>
          <w:szCs w:val="24"/>
          <w:vertAlign w:val="superscript"/>
          <w:lang w:val="nl-NL"/>
        </w:rPr>
        <w:t>19</w:t>
      </w:r>
      <w:r>
        <w:rPr>
          <w:bCs/>
          <w:szCs w:val="24"/>
          <w:lang w:val="nl-NL"/>
        </w:rPr>
        <w:fldChar w:fldCharType="end"/>
      </w:r>
      <w:r w:rsidRPr="00C74B83">
        <w:rPr>
          <w:bCs/>
          <w:szCs w:val="24"/>
          <w:lang w:val="nl-NL"/>
        </w:rPr>
        <w:t xml:space="preserve"> Sehingga tikus pada kelompok perlakuan hanya mampu mengonsumsi air minum sekitar 15,9 ml/hari dan asupan cairan lainnya didapat dari minuman sinom.</w:t>
      </w:r>
      <w:r>
        <w:rPr>
          <w:bCs/>
          <w:szCs w:val="24"/>
          <w:lang w:val="nl-NL"/>
        </w:rPr>
        <w:t xml:space="preserve"> </w:t>
      </w:r>
      <w:r w:rsidRPr="00C74B83">
        <w:rPr>
          <w:lang w:val="id-ID"/>
        </w:rPr>
        <w:t>Ber</w:t>
      </w:r>
      <w:r>
        <w:rPr>
          <w:lang w:val="id-ID"/>
        </w:rPr>
        <w:t>dasarkan penelitian Wulan</w:t>
      </w:r>
      <w:r w:rsidRPr="00C74B83">
        <w:rPr>
          <w:lang w:val="id-ID"/>
        </w:rPr>
        <w:t>, menunjukkan bahwa air minum dapat berpengaruh terhadap penurunan kadar asam urat</w:t>
      </w:r>
      <w:r w:rsidRPr="0042741B">
        <w:rPr>
          <w:lang w:val="nl-NL"/>
        </w:rPr>
        <w:t>.</w:t>
      </w:r>
      <w:r>
        <w:rPr>
          <w:lang w:val="id-ID"/>
        </w:rPr>
        <w:fldChar w:fldCharType="begin" w:fldLock="1"/>
      </w:r>
      <w:r>
        <w:rPr>
          <w:lang w:val="id-ID"/>
        </w:rPr>
        <w:instrText>ADDIN CSL_CITATION {"citationItems":[{"id":"ITEM-1","itemData":{"abstract":"asam urat merupakan hasil akhir metabolisme dari purin yang berbentuk nucleprotein, yakni salah satu komponen asam nukleat yang terdapat pada inti sel-sel tubuh. terapi air putih adalah terapi yang menggunakan air sebagai media utamanya dengan menggunakan metode diminum untuk mendapatkan efek-efek terapis atau penyembuhan. penelitian di desa katipugal kecamatan kebonagung kabupaten pacitan yang dilakukan pada tanggal 24-30 juli 2017. penelitian menggunakan metode pra eksperimen dengan design one group pre post test design. teknik pengambilan sampel dengan purposive sampling. jumlah sampel 38 orang penderita asam urat. Responden dilakukan pengecekan kadar asam urat sebelum dan sesudah diberikan terapi dengan menggunakan easy touch GCU digital. sebelum dilakukan terapi air putih rata-rata kadar asam urat darah responden adalah 7,8 mg/dl, sesudah diberikan terapi air putih rata-rata kadar asam urat responden adalah 5,9 mg/dl. Analisis statistik menggunakan uji wilcoxon. hasil uji wilcoxon terhadap 38 orang didapatkan perubahan kadar asam urat darah dengan nilai p-value 0,000. hasil uji stastistik menunjukkan nilai p-value lebih kecil dari nilai α (0,05), dengan demikian Ho ditolak. penelitian ini menunjukkan bahwa ada pengaruh terapi air putih terhadap perubahan kadar asam urat darah pada penderita asam urat. dengan demikian dapat diharapkan penderita asam urat seharusnya menerapkan terapi api putih untuk mengurangi kadar asam urat darah dalam tubuh. kata kunci : asam urat, terapi air putih","author":[{"dropping-particle":"","family":"Wulan","given":"Erna Restika","non-dropping-particle":"","parse-names":false,"suffix":""}],"container-title":"Skripsi","id":"ITEM-1","issued":{"date-parts":[["2017"]]},"title":"Pengaruh Terapi Minum Air Putih Terhadap Perubahan Kadar Asam Urat Darah Pada Penderita Asam Urat di Desa Katipugal Kec. kebonagung Kab. pacitan","type":"article-journal"},"uris":["http://www.mendeley.com/documents/?uuid=dcb0d824-4753-4425-bd70-a2da2796ab91"]}],"mendeley":{"formattedCitation":"&lt;sup&gt;20&lt;/sup&gt;","plainTextFormattedCitation":"20","previouslyFormattedCitation":"&lt;sup&gt;20&lt;/sup&gt;"},"properties":{"noteIndex":0},"schema":"https://github.com/citation-style-language/schema/raw/master/csl-citation.json"}</w:instrText>
      </w:r>
      <w:r>
        <w:rPr>
          <w:lang w:val="id-ID"/>
        </w:rPr>
        <w:fldChar w:fldCharType="separate"/>
      </w:r>
      <w:r w:rsidRPr="004E5F0B">
        <w:rPr>
          <w:noProof/>
          <w:vertAlign w:val="superscript"/>
          <w:lang w:val="id-ID"/>
        </w:rPr>
        <w:t>20</w:t>
      </w:r>
      <w:r>
        <w:rPr>
          <w:lang w:val="id-ID"/>
        </w:rPr>
        <w:fldChar w:fldCharType="end"/>
      </w:r>
      <w:r w:rsidRPr="0042741B">
        <w:rPr>
          <w:lang w:val="nl-NL"/>
        </w:rPr>
        <w:t xml:space="preserve"> Namun berbeda dengan penelitian Diantari yang mengatakan bahwa asupan cairan tidak berpe</w:t>
      </w:r>
      <w:r>
        <w:rPr>
          <w:lang w:val="nl-NL"/>
        </w:rPr>
        <w:t>ngaruh terhadap kadar asam urat</w:t>
      </w:r>
      <w:r w:rsidRPr="0042741B">
        <w:rPr>
          <w:lang w:val="nl-NL"/>
        </w:rPr>
        <w:t>.</w:t>
      </w:r>
      <w:r>
        <w:rPr>
          <w:lang w:val="nl-NL"/>
        </w:rPr>
        <w:fldChar w:fldCharType="begin" w:fldLock="1"/>
      </w:r>
      <w:r>
        <w:rPr>
          <w:lang w:val="nl-NL"/>
        </w:rPr>
        <w:instrText>ADDIN CSL_CITATION {"citationItems":[{"id":"ITEM-1","itemData":{"author":[{"dropping-particle":"","family":"Diantari","given":"Ervin","non-dropping-particle":"","parse-names":false,"suffix":""},{"dropping-particle":"","family":"Candra","given":"Aryu","non-dropping-particle":"","parse-names":false,"suffix":""}],"container-title":"Journal of Nutrition College","id":"ITEM-1","issued":{"date-parts":[["2013"]]},"page":"44-49","title":"Pengaruh Asupan Purin Dan Cairan Terhadap Kadar Asam Urat Wanita Usia 50-60 Tahun Di Kecamatan Gajah Mungkur, Semarang","type":"article-journal","volume":"2"},"uris":["http://www.mendeley.com/documents/?uuid=b68161ef-1eef-4e78-9fed-0f10b9845016"]}],"mendeley":{"formattedCitation":"&lt;sup&gt;21&lt;/sup&gt;","plainTextFormattedCitation":"21","previouslyFormattedCitation":"&lt;sup&gt;21&lt;/sup&gt;"},"properties":{"noteIndex":0},"schema":"https://github.com/citation-style-language/schema/raw/master/csl-citation.json"}</w:instrText>
      </w:r>
      <w:r>
        <w:rPr>
          <w:lang w:val="nl-NL"/>
        </w:rPr>
        <w:fldChar w:fldCharType="separate"/>
      </w:r>
      <w:r w:rsidRPr="004E5F0B">
        <w:rPr>
          <w:noProof/>
          <w:vertAlign w:val="superscript"/>
          <w:lang w:val="nl-NL"/>
        </w:rPr>
        <w:t>21</w:t>
      </w:r>
      <w:r>
        <w:rPr>
          <w:lang w:val="nl-NL"/>
        </w:rPr>
        <w:fldChar w:fldCharType="end"/>
      </w:r>
      <w:r w:rsidRPr="0042741B">
        <w:rPr>
          <w:lang w:val="nl-NL"/>
        </w:rPr>
        <w:t xml:space="preserve"> Sehingga berbedaan asupan air minum antar kelompok tidak dapat menjadi penyebab utama terkait perubahan kadar asam urat tikus.</w:t>
      </w:r>
    </w:p>
    <w:p w14:paraId="7CDBD7E2" w14:textId="77777777" w:rsidR="0049742B" w:rsidRPr="0049742B" w:rsidRDefault="0049742B" w:rsidP="007D13A2">
      <w:pPr>
        <w:spacing w:line="276" w:lineRule="auto"/>
        <w:ind w:firstLine="567"/>
        <w:rPr>
          <w:lang w:val="en-GB"/>
        </w:rPr>
      </w:pPr>
    </w:p>
    <w:p w14:paraId="18F5FB11" w14:textId="2B9E0426" w:rsidR="00064A81" w:rsidRDefault="00064A81" w:rsidP="00BE5F99">
      <w:pPr>
        <w:spacing w:line="276" w:lineRule="auto"/>
        <w:jc w:val="center"/>
        <w:rPr>
          <w:lang w:val="id-ID"/>
        </w:rPr>
      </w:pPr>
      <w:r>
        <w:rPr>
          <w:lang w:val="id-ID"/>
        </w:rPr>
        <w:t>Tabel 4. Analisi</w:t>
      </w:r>
      <w:r w:rsidR="00BE5F99">
        <w:t>s</w:t>
      </w:r>
      <w:r>
        <w:rPr>
          <w:lang w:val="id-ID"/>
        </w:rPr>
        <w:t xml:space="preserve"> Asupan Air Minum</w:t>
      </w: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2137"/>
        <w:gridCol w:w="4557"/>
        <w:gridCol w:w="2945"/>
      </w:tblGrid>
      <w:tr w:rsidR="00064A81" w:rsidRPr="00AD5228" w14:paraId="79E976DA" w14:textId="77777777" w:rsidTr="008C2E60">
        <w:trPr>
          <w:trHeight w:val="380"/>
        </w:trPr>
        <w:tc>
          <w:tcPr>
            <w:tcW w:w="2137" w:type="dxa"/>
            <w:tcBorders>
              <w:top w:val="single" w:sz="4" w:space="0" w:color="auto"/>
              <w:left w:val="nil"/>
              <w:bottom w:val="single" w:sz="4" w:space="0" w:color="auto"/>
              <w:right w:val="nil"/>
            </w:tcBorders>
            <w:vAlign w:val="center"/>
          </w:tcPr>
          <w:p w14:paraId="2FAD8415" w14:textId="77777777" w:rsidR="00064A81" w:rsidRPr="00AD5228" w:rsidRDefault="00064A81" w:rsidP="007D13A2">
            <w:pPr>
              <w:spacing w:line="276" w:lineRule="auto"/>
              <w:jc w:val="center"/>
              <w:rPr>
                <w:sz w:val="20"/>
                <w:szCs w:val="20"/>
              </w:rPr>
            </w:pPr>
            <w:proofErr w:type="spellStart"/>
            <w:r w:rsidRPr="00AD5228">
              <w:rPr>
                <w:sz w:val="20"/>
                <w:szCs w:val="20"/>
              </w:rPr>
              <w:t>Kelompok</w:t>
            </w:r>
            <w:proofErr w:type="spellEnd"/>
          </w:p>
        </w:tc>
        <w:tc>
          <w:tcPr>
            <w:tcW w:w="4557" w:type="dxa"/>
            <w:tcBorders>
              <w:top w:val="single" w:sz="4" w:space="0" w:color="auto"/>
              <w:left w:val="nil"/>
              <w:bottom w:val="single" w:sz="4" w:space="0" w:color="auto"/>
              <w:right w:val="nil"/>
            </w:tcBorders>
            <w:vAlign w:val="center"/>
            <w:hideMark/>
          </w:tcPr>
          <w:p w14:paraId="2EB0E95B" w14:textId="77777777" w:rsidR="00064A81" w:rsidRPr="00AD5228" w:rsidRDefault="00064A81" w:rsidP="007D13A2">
            <w:pPr>
              <w:spacing w:line="276" w:lineRule="auto"/>
              <w:jc w:val="center"/>
              <w:rPr>
                <w:sz w:val="20"/>
                <w:szCs w:val="20"/>
                <w:lang w:val="id-ID"/>
              </w:rPr>
            </w:pPr>
            <w:r w:rsidRPr="00AD5228">
              <w:rPr>
                <w:sz w:val="20"/>
                <w:szCs w:val="20"/>
              </w:rPr>
              <w:t>Mean</w:t>
            </w:r>
            <w:r w:rsidRPr="00AD5228">
              <w:rPr>
                <w:sz w:val="20"/>
                <w:szCs w:val="20"/>
                <w:lang w:val="id-ID"/>
              </w:rPr>
              <w:t xml:space="preserve"> (mg/dl) </w:t>
            </w:r>
            <w:r w:rsidRPr="00AD5228">
              <w:rPr>
                <w:sz w:val="20"/>
                <w:szCs w:val="20"/>
              </w:rPr>
              <w:t>± SD</w:t>
            </w:r>
          </w:p>
        </w:tc>
        <w:tc>
          <w:tcPr>
            <w:tcW w:w="2945" w:type="dxa"/>
            <w:tcBorders>
              <w:top w:val="single" w:sz="4" w:space="0" w:color="auto"/>
              <w:left w:val="nil"/>
              <w:bottom w:val="single" w:sz="4" w:space="0" w:color="auto"/>
              <w:right w:val="nil"/>
            </w:tcBorders>
            <w:vAlign w:val="center"/>
          </w:tcPr>
          <w:p w14:paraId="53F505B9" w14:textId="77777777" w:rsidR="00064A81" w:rsidRPr="00AD5228" w:rsidRDefault="00064A81" w:rsidP="007D13A2">
            <w:pPr>
              <w:spacing w:line="276" w:lineRule="auto"/>
              <w:jc w:val="center"/>
              <w:rPr>
                <w:sz w:val="20"/>
                <w:szCs w:val="20"/>
              </w:rPr>
            </w:pPr>
            <w:r w:rsidRPr="00AD5228">
              <w:rPr>
                <w:sz w:val="20"/>
                <w:szCs w:val="20"/>
              </w:rPr>
              <w:t>P</w:t>
            </w:r>
          </w:p>
        </w:tc>
      </w:tr>
      <w:tr w:rsidR="00064A81" w:rsidRPr="00AD5228" w14:paraId="2B9E4DD6" w14:textId="77777777" w:rsidTr="008C2E60">
        <w:trPr>
          <w:trHeight w:val="297"/>
        </w:trPr>
        <w:tc>
          <w:tcPr>
            <w:tcW w:w="2137" w:type="dxa"/>
            <w:tcBorders>
              <w:top w:val="single" w:sz="4" w:space="0" w:color="auto"/>
              <w:left w:val="nil"/>
              <w:bottom w:val="nil"/>
              <w:right w:val="nil"/>
            </w:tcBorders>
            <w:hideMark/>
          </w:tcPr>
          <w:p w14:paraId="0C817193" w14:textId="77777777" w:rsidR="00064A81" w:rsidRPr="00AD5228" w:rsidRDefault="00064A81" w:rsidP="007D13A2">
            <w:pPr>
              <w:spacing w:line="276" w:lineRule="auto"/>
              <w:jc w:val="left"/>
              <w:rPr>
                <w:sz w:val="20"/>
                <w:szCs w:val="20"/>
              </w:rPr>
            </w:pPr>
            <w:r w:rsidRPr="00AD5228">
              <w:rPr>
                <w:sz w:val="20"/>
                <w:szCs w:val="20"/>
              </w:rPr>
              <w:t>K (-)</w:t>
            </w:r>
          </w:p>
        </w:tc>
        <w:tc>
          <w:tcPr>
            <w:tcW w:w="4557" w:type="dxa"/>
            <w:tcBorders>
              <w:top w:val="single" w:sz="4" w:space="0" w:color="auto"/>
              <w:left w:val="nil"/>
              <w:bottom w:val="nil"/>
              <w:right w:val="nil"/>
            </w:tcBorders>
            <w:hideMark/>
          </w:tcPr>
          <w:p w14:paraId="5CEEC8ED" w14:textId="77777777" w:rsidR="00064A81" w:rsidRPr="00AD5228" w:rsidRDefault="00064A81" w:rsidP="007D13A2">
            <w:pPr>
              <w:spacing w:line="276" w:lineRule="auto"/>
              <w:jc w:val="center"/>
              <w:rPr>
                <w:sz w:val="20"/>
                <w:szCs w:val="20"/>
                <w:lang w:val="id-ID"/>
              </w:rPr>
            </w:pPr>
            <w:r w:rsidRPr="00AD5228">
              <w:rPr>
                <w:sz w:val="20"/>
                <w:szCs w:val="20"/>
                <w:lang w:val="id-ID"/>
              </w:rPr>
              <w:t>21,63</w:t>
            </w:r>
            <w:r w:rsidRPr="00AD5228">
              <w:rPr>
                <w:rFonts w:eastAsia="Times New Roman"/>
                <w:bCs/>
                <w:color w:val="000000"/>
                <w:sz w:val="20"/>
                <w:szCs w:val="20"/>
                <w:vertAlign w:val="superscript"/>
                <w:lang w:val="id-ID"/>
              </w:rPr>
              <w:t>a</w:t>
            </w:r>
            <w:r w:rsidRPr="00AD5228">
              <w:rPr>
                <w:sz w:val="20"/>
                <w:szCs w:val="20"/>
              </w:rPr>
              <w:t xml:space="preserve"> ± </w:t>
            </w:r>
            <w:r w:rsidRPr="00AD5228">
              <w:rPr>
                <w:sz w:val="20"/>
                <w:szCs w:val="20"/>
                <w:lang w:val="id-ID"/>
              </w:rPr>
              <w:t>2,61</w:t>
            </w:r>
          </w:p>
        </w:tc>
        <w:tc>
          <w:tcPr>
            <w:tcW w:w="2945" w:type="dxa"/>
            <w:vMerge w:val="restart"/>
            <w:tcBorders>
              <w:top w:val="single" w:sz="4" w:space="0" w:color="auto"/>
              <w:left w:val="nil"/>
              <w:bottom w:val="single" w:sz="4" w:space="0" w:color="auto"/>
              <w:right w:val="nil"/>
            </w:tcBorders>
          </w:tcPr>
          <w:p w14:paraId="4F9F1299" w14:textId="77777777" w:rsidR="00064A81" w:rsidRPr="00AD5228" w:rsidRDefault="00064A81" w:rsidP="007D13A2">
            <w:pPr>
              <w:spacing w:line="276" w:lineRule="auto"/>
              <w:jc w:val="center"/>
              <w:rPr>
                <w:sz w:val="20"/>
                <w:szCs w:val="20"/>
              </w:rPr>
            </w:pPr>
          </w:p>
          <w:p w14:paraId="24996401" w14:textId="77777777" w:rsidR="00064A81" w:rsidRPr="00AD5228" w:rsidRDefault="00064A81" w:rsidP="007D13A2">
            <w:pPr>
              <w:spacing w:line="276" w:lineRule="auto"/>
              <w:jc w:val="center"/>
              <w:rPr>
                <w:sz w:val="20"/>
                <w:szCs w:val="20"/>
              </w:rPr>
            </w:pPr>
            <w:r w:rsidRPr="00AD5228">
              <w:rPr>
                <w:sz w:val="20"/>
                <w:szCs w:val="20"/>
              </w:rPr>
              <w:t>0,0</w:t>
            </w:r>
            <w:r w:rsidRPr="00AD5228">
              <w:rPr>
                <w:sz w:val="20"/>
                <w:szCs w:val="20"/>
                <w:lang w:val="id-ID"/>
              </w:rPr>
              <w:t>00</w:t>
            </w:r>
            <w:r w:rsidRPr="00AD5228">
              <w:rPr>
                <w:sz w:val="20"/>
                <w:szCs w:val="20"/>
              </w:rPr>
              <w:t>*</w:t>
            </w:r>
          </w:p>
        </w:tc>
      </w:tr>
      <w:tr w:rsidR="00064A81" w:rsidRPr="00AD5228" w14:paraId="3D9076C9" w14:textId="77777777" w:rsidTr="008C2E60">
        <w:trPr>
          <w:trHeight w:val="297"/>
        </w:trPr>
        <w:tc>
          <w:tcPr>
            <w:tcW w:w="2137" w:type="dxa"/>
            <w:tcBorders>
              <w:top w:val="nil"/>
              <w:left w:val="nil"/>
              <w:bottom w:val="nil"/>
              <w:right w:val="nil"/>
            </w:tcBorders>
            <w:hideMark/>
          </w:tcPr>
          <w:p w14:paraId="731CCB8D" w14:textId="77777777" w:rsidR="00064A81" w:rsidRPr="00AD5228" w:rsidRDefault="00064A81" w:rsidP="007D13A2">
            <w:pPr>
              <w:spacing w:line="276" w:lineRule="auto"/>
              <w:jc w:val="left"/>
              <w:rPr>
                <w:sz w:val="20"/>
                <w:szCs w:val="20"/>
              </w:rPr>
            </w:pPr>
            <w:r w:rsidRPr="00AD5228">
              <w:rPr>
                <w:sz w:val="20"/>
                <w:szCs w:val="20"/>
              </w:rPr>
              <w:t>K (+)</w:t>
            </w:r>
          </w:p>
        </w:tc>
        <w:tc>
          <w:tcPr>
            <w:tcW w:w="4557" w:type="dxa"/>
            <w:tcBorders>
              <w:top w:val="nil"/>
              <w:left w:val="nil"/>
              <w:bottom w:val="nil"/>
              <w:right w:val="nil"/>
            </w:tcBorders>
            <w:hideMark/>
          </w:tcPr>
          <w:p w14:paraId="32B9E4FF" w14:textId="77777777" w:rsidR="00064A81" w:rsidRPr="00AD5228" w:rsidRDefault="00064A81" w:rsidP="007D13A2">
            <w:pPr>
              <w:spacing w:line="276" w:lineRule="auto"/>
              <w:jc w:val="center"/>
              <w:rPr>
                <w:sz w:val="20"/>
                <w:szCs w:val="20"/>
                <w:lang w:val="id-ID"/>
              </w:rPr>
            </w:pPr>
            <w:r w:rsidRPr="00AD5228">
              <w:rPr>
                <w:sz w:val="20"/>
                <w:szCs w:val="20"/>
                <w:lang w:val="id-ID"/>
              </w:rPr>
              <w:t>22,48</w:t>
            </w:r>
            <w:r w:rsidRPr="00AD5228">
              <w:rPr>
                <w:rFonts w:eastAsia="Times New Roman"/>
                <w:bCs/>
                <w:color w:val="000000"/>
                <w:sz w:val="20"/>
                <w:szCs w:val="20"/>
                <w:vertAlign w:val="superscript"/>
                <w:lang w:val="id-ID"/>
              </w:rPr>
              <w:t>a</w:t>
            </w:r>
            <w:r w:rsidRPr="00AD5228">
              <w:rPr>
                <w:sz w:val="20"/>
                <w:szCs w:val="20"/>
              </w:rPr>
              <w:t xml:space="preserve"> ± </w:t>
            </w:r>
            <w:r w:rsidRPr="00AD5228">
              <w:rPr>
                <w:sz w:val="20"/>
                <w:szCs w:val="20"/>
                <w:lang w:val="id-ID"/>
              </w:rPr>
              <w:t>2,17</w:t>
            </w:r>
          </w:p>
        </w:tc>
        <w:tc>
          <w:tcPr>
            <w:tcW w:w="2945" w:type="dxa"/>
            <w:vMerge/>
            <w:tcBorders>
              <w:top w:val="single" w:sz="4" w:space="0" w:color="auto"/>
              <w:left w:val="nil"/>
              <w:bottom w:val="single" w:sz="4" w:space="0" w:color="auto"/>
              <w:right w:val="nil"/>
            </w:tcBorders>
            <w:vAlign w:val="center"/>
            <w:hideMark/>
          </w:tcPr>
          <w:p w14:paraId="2092DF62" w14:textId="77777777" w:rsidR="00064A81" w:rsidRPr="00AD5228" w:rsidRDefault="00064A81" w:rsidP="007D13A2">
            <w:pPr>
              <w:spacing w:line="276" w:lineRule="auto"/>
              <w:rPr>
                <w:sz w:val="20"/>
                <w:szCs w:val="20"/>
              </w:rPr>
            </w:pPr>
          </w:p>
        </w:tc>
      </w:tr>
      <w:tr w:rsidR="00064A81" w:rsidRPr="00AD5228" w14:paraId="6EE54C4F" w14:textId="77777777" w:rsidTr="008C2E60">
        <w:trPr>
          <w:trHeight w:val="297"/>
        </w:trPr>
        <w:tc>
          <w:tcPr>
            <w:tcW w:w="2137" w:type="dxa"/>
            <w:tcBorders>
              <w:top w:val="nil"/>
              <w:left w:val="nil"/>
              <w:bottom w:val="single" w:sz="4" w:space="0" w:color="auto"/>
              <w:right w:val="nil"/>
            </w:tcBorders>
            <w:hideMark/>
          </w:tcPr>
          <w:p w14:paraId="6A29E218" w14:textId="77777777" w:rsidR="00064A81" w:rsidRPr="00AD5228" w:rsidRDefault="00064A81" w:rsidP="007D13A2">
            <w:pPr>
              <w:spacing w:line="276" w:lineRule="auto"/>
              <w:jc w:val="left"/>
              <w:rPr>
                <w:sz w:val="20"/>
                <w:szCs w:val="20"/>
              </w:rPr>
            </w:pPr>
            <w:r w:rsidRPr="00AD5228">
              <w:rPr>
                <w:sz w:val="20"/>
                <w:szCs w:val="20"/>
              </w:rPr>
              <w:t>P</w:t>
            </w:r>
          </w:p>
        </w:tc>
        <w:tc>
          <w:tcPr>
            <w:tcW w:w="4557" w:type="dxa"/>
            <w:tcBorders>
              <w:top w:val="nil"/>
              <w:left w:val="nil"/>
              <w:bottom w:val="single" w:sz="4" w:space="0" w:color="auto"/>
              <w:right w:val="nil"/>
            </w:tcBorders>
            <w:hideMark/>
          </w:tcPr>
          <w:p w14:paraId="63D3B431" w14:textId="77777777" w:rsidR="00064A81" w:rsidRPr="00AD5228" w:rsidRDefault="00064A81" w:rsidP="007D13A2">
            <w:pPr>
              <w:spacing w:line="276" w:lineRule="auto"/>
              <w:jc w:val="center"/>
              <w:rPr>
                <w:sz w:val="20"/>
                <w:szCs w:val="20"/>
                <w:lang w:val="id-ID"/>
              </w:rPr>
            </w:pPr>
            <w:r w:rsidRPr="00AD5228">
              <w:rPr>
                <w:sz w:val="20"/>
                <w:szCs w:val="20"/>
                <w:lang w:val="id-ID"/>
              </w:rPr>
              <w:t>15,93</w:t>
            </w:r>
            <w:r w:rsidRPr="00AD5228">
              <w:rPr>
                <w:rFonts w:eastAsia="Times New Roman"/>
                <w:bCs/>
                <w:color w:val="000000"/>
                <w:sz w:val="20"/>
                <w:szCs w:val="20"/>
                <w:vertAlign w:val="superscript"/>
                <w:lang w:val="id-ID"/>
              </w:rPr>
              <w:t>b</w:t>
            </w:r>
            <w:r w:rsidRPr="00AD5228">
              <w:rPr>
                <w:sz w:val="20"/>
                <w:szCs w:val="20"/>
              </w:rPr>
              <w:t xml:space="preserve"> ± </w:t>
            </w:r>
            <w:r w:rsidRPr="00AD5228">
              <w:rPr>
                <w:sz w:val="20"/>
                <w:szCs w:val="20"/>
                <w:lang w:val="id-ID"/>
              </w:rPr>
              <w:t>2,00</w:t>
            </w:r>
          </w:p>
        </w:tc>
        <w:tc>
          <w:tcPr>
            <w:tcW w:w="2945" w:type="dxa"/>
            <w:vMerge/>
            <w:tcBorders>
              <w:top w:val="single" w:sz="4" w:space="0" w:color="auto"/>
              <w:left w:val="nil"/>
              <w:bottom w:val="single" w:sz="4" w:space="0" w:color="auto"/>
              <w:right w:val="nil"/>
            </w:tcBorders>
            <w:vAlign w:val="center"/>
            <w:hideMark/>
          </w:tcPr>
          <w:p w14:paraId="4BB4B735" w14:textId="77777777" w:rsidR="00064A81" w:rsidRPr="00AD5228" w:rsidRDefault="00064A81" w:rsidP="007D13A2">
            <w:pPr>
              <w:spacing w:line="276" w:lineRule="auto"/>
              <w:rPr>
                <w:sz w:val="20"/>
                <w:szCs w:val="20"/>
              </w:rPr>
            </w:pPr>
          </w:p>
        </w:tc>
      </w:tr>
    </w:tbl>
    <w:p w14:paraId="6DAD6DA7" w14:textId="77777777" w:rsidR="00064A81" w:rsidRDefault="001E6E0B" w:rsidP="007D13A2">
      <w:pPr>
        <w:spacing w:line="276" w:lineRule="auto"/>
        <w:rPr>
          <w:sz w:val="20"/>
          <w:lang w:val="id-ID"/>
        </w:rPr>
      </w:pPr>
      <w:r w:rsidRPr="00EE660B">
        <w:rPr>
          <w:sz w:val="20"/>
          <w:lang w:val="id-ID"/>
        </w:rPr>
        <w:t>Keterangan: *signifikan p &lt; 0,05. Angka yang didampingi huruf m</w:t>
      </w:r>
      <w:r w:rsidR="00ED0C74">
        <w:rPr>
          <w:sz w:val="20"/>
          <w:lang w:val="id-ID"/>
        </w:rPr>
        <w:t>enandakan perbedaan yang bermakna</w:t>
      </w:r>
      <w:r w:rsidRPr="00EE660B">
        <w:rPr>
          <w:sz w:val="20"/>
          <w:lang w:val="id-ID"/>
        </w:rPr>
        <w:t xml:space="preserve">, dan jika huruf yang sama artinya </w:t>
      </w:r>
      <w:r w:rsidR="00ED0C74">
        <w:rPr>
          <w:sz w:val="20"/>
          <w:lang w:val="id-ID"/>
        </w:rPr>
        <w:t>tidak ada perbedaan yang bermakna</w:t>
      </w:r>
      <w:r w:rsidRPr="00EE660B">
        <w:rPr>
          <w:sz w:val="20"/>
          <w:lang w:val="id-ID"/>
        </w:rPr>
        <w:t>.</w:t>
      </w:r>
    </w:p>
    <w:p w14:paraId="0C254DAF" w14:textId="77777777" w:rsidR="00FA3DC5" w:rsidRPr="0042741B" w:rsidRDefault="00FA3DC5" w:rsidP="00FA3DC5">
      <w:pPr>
        <w:spacing w:line="276" w:lineRule="auto"/>
        <w:ind w:firstLine="567"/>
        <w:rPr>
          <w:bCs/>
          <w:szCs w:val="24"/>
          <w:lang w:val="nl-NL"/>
        </w:rPr>
      </w:pPr>
    </w:p>
    <w:p w14:paraId="0E21E48E" w14:textId="77777777" w:rsidR="00E06E58" w:rsidRPr="00E06E58" w:rsidRDefault="00E06E58" w:rsidP="00EF00A3">
      <w:pPr>
        <w:spacing w:line="276" w:lineRule="auto"/>
        <w:rPr>
          <w:b/>
          <w:lang w:val="id-ID"/>
        </w:rPr>
      </w:pPr>
      <w:r w:rsidRPr="00E06E58">
        <w:rPr>
          <w:b/>
          <w:lang w:val="id-ID"/>
        </w:rPr>
        <w:t>Analisis Kadar Asam Urat Sesudah Perlakuan (</w:t>
      </w:r>
      <w:r w:rsidRPr="00E06E58">
        <w:rPr>
          <w:b/>
          <w:i/>
          <w:lang w:val="id-ID"/>
        </w:rPr>
        <w:t>Posttest</w:t>
      </w:r>
      <w:r w:rsidRPr="00E06E58">
        <w:rPr>
          <w:b/>
          <w:lang w:val="id-ID"/>
        </w:rPr>
        <w:t>)</w:t>
      </w:r>
    </w:p>
    <w:p w14:paraId="4549D4FB" w14:textId="0B06D142" w:rsidR="00121C7E" w:rsidRPr="008A1054" w:rsidRDefault="00074A25" w:rsidP="00F678FA">
      <w:pPr>
        <w:spacing w:line="276" w:lineRule="auto"/>
        <w:ind w:firstLine="567"/>
      </w:pPr>
      <w:r w:rsidRPr="0042741B">
        <w:rPr>
          <w:lang w:val="id-ID"/>
        </w:rPr>
        <w:t xml:space="preserve">Analisis kadar asam urat </w:t>
      </w:r>
      <w:r w:rsidR="008F02CC" w:rsidRPr="0042741B">
        <w:rPr>
          <w:i/>
          <w:lang w:val="id-ID"/>
        </w:rPr>
        <w:t>posttest</w:t>
      </w:r>
      <w:r w:rsidRPr="0042741B">
        <w:rPr>
          <w:i/>
          <w:lang w:val="id-ID"/>
        </w:rPr>
        <w:t xml:space="preserve"> </w:t>
      </w:r>
      <w:r w:rsidRPr="0042741B">
        <w:rPr>
          <w:lang w:val="id-ID"/>
        </w:rPr>
        <w:t xml:space="preserve">bertujuan untuk menganalisis perbedaan kadar asam urat antar kelompok setelah </w:t>
      </w:r>
      <w:r w:rsidR="008F02CC" w:rsidRPr="0042741B">
        <w:rPr>
          <w:lang w:val="id-ID"/>
        </w:rPr>
        <w:t>masa intervensi</w:t>
      </w:r>
      <w:r w:rsidRPr="0042741B">
        <w:rPr>
          <w:lang w:val="id-ID"/>
        </w:rPr>
        <w:t xml:space="preserve"> serta untuk memast</w:t>
      </w:r>
      <w:r w:rsidR="008F02CC" w:rsidRPr="0042741B">
        <w:rPr>
          <w:lang w:val="id-ID"/>
        </w:rPr>
        <w:t>ikan bahwa sampel pada kelompok</w:t>
      </w:r>
      <w:r w:rsidRPr="0042741B">
        <w:rPr>
          <w:lang w:val="id-ID"/>
        </w:rPr>
        <w:t xml:space="preserve"> perlak</w:t>
      </w:r>
      <w:r w:rsidR="008F02CC" w:rsidRPr="0042741B">
        <w:rPr>
          <w:lang w:val="id-ID"/>
        </w:rPr>
        <w:t xml:space="preserve">uan mengalami perubahan kadar asam urat. </w:t>
      </w:r>
      <w:r w:rsidR="000A1226">
        <w:rPr>
          <w:lang w:val="id-ID"/>
        </w:rPr>
        <w:t>Hasil uji normalitas dan homogenitas</w:t>
      </w:r>
      <w:r w:rsidR="008E0A7B">
        <w:rPr>
          <w:lang w:val="id-ID"/>
        </w:rPr>
        <w:t xml:space="preserve"> </w:t>
      </w:r>
      <w:r w:rsidR="000A1226">
        <w:rPr>
          <w:lang w:val="id-ID"/>
        </w:rPr>
        <w:t xml:space="preserve">menunjukkan data berdistribusi normal dan homogen dengan nilai p &gt; 0,05. Kemudian </w:t>
      </w:r>
      <w:r w:rsidR="001E6E0B">
        <w:rPr>
          <w:lang w:val="id-ID"/>
        </w:rPr>
        <w:t>dilanjutkan</w:t>
      </w:r>
      <w:r w:rsidR="000A1226">
        <w:rPr>
          <w:lang w:val="id-ID"/>
        </w:rPr>
        <w:t xml:space="preserve"> uji </w:t>
      </w:r>
      <w:r w:rsidR="000A1226">
        <w:rPr>
          <w:i/>
          <w:lang w:val="id-ID"/>
        </w:rPr>
        <w:t xml:space="preserve">One Way Anova </w:t>
      </w:r>
      <w:r w:rsidR="001E6E0B">
        <w:rPr>
          <w:lang w:val="id-ID"/>
        </w:rPr>
        <w:t>dan</w:t>
      </w:r>
      <w:r w:rsidR="000A1226">
        <w:rPr>
          <w:lang w:val="id-ID"/>
        </w:rPr>
        <w:t xml:space="preserve"> </w:t>
      </w:r>
      <w:r w:rsidR="000A1226">
        <w:rPr>
          <w:i/>
          <w:lang w:val="id-ID"/>
        </w:rPr>
        <w:t xml:space="preserve">Post Hoc </w:t>
      </w:r>
      <w:r w:rsidR="000A1226">
        <w:rPr>
          <w:lang w:val="id-ID"/>
        </w:rPr>
        <w:t xml:space="preserve">yang dapat dilihat pada </w:t>
      </w:r>
      <w:proofErr w:type="spellStart"/>
      <w:r w:rsidR="00EF00A3">
        <w:t>Tabel</w:t>
      </w:r>
      <w:proofErr w:type="spellEnd"/>
      <w:r w:rsidR="00EF00A3">
        <w:t xml:space="preserve"> 5</w:t>
      </w:r>
      <w:r w:rsidR="008A1054">
        <w:t>.</w:t>
      </w:r>
    </w:p>
    <w:p w14:paraId="3C7C8045" w14:textId="77777777" w:rsidR="007967DB" w:rsidRPr="0042741B" w:rsidRDefault="007967DB" w:rsidP="00EC11FC">
      <w:pPr>
        <w:tabs>
          <w:tab w:val="left" w:pos="1815"/>
        </w:tabs>
        <w:spacing w:line="276" w:lineRule="auto"/>
        <w:rPr>
          <w:lang w:val="id-ID"/>
        </w:rPr>
      </w:pPr>
    </w:p>
    <w:p w14:paraId="0F519DCD" w14:textId="7485453B" w:rsidR="001E6E0B" w:rsidRDefault="001E6E0B" w:rsidP="00EF00A3">
      <w:pPr>
        <w:spacing w:line="276" w:lineRule="auto"/>
        <w:jc w:val="center"/>
        <w:rPr>
          <w:lang w:val="id-ID"/>
        </w:rPr>
      </w:pPr>
      <w:r>
        <w:rPr>
          <w:lang w:val="id-ID"/>
        </w:rPr>
        <w:t xml:space="preserve">Tabel 5. Analisis Data Kadar Asam Urat </w:t>
      </w:r>
      <w:r>
        <w:rPr>
          <w:i/>
          <w:lang w:val="id-ID"/>
        </w:rPr>
        <w:t xml:space="preserve">Posttest </w:t>
      </w:r>
      <w:r w:rsidR="00EF00A3">
        <w:t>A</w:t>
      </w:r>
      <w:r>
        <w:rPr>
          <w:lang w:val="id-ID"/>
        </w:rPr>
        <w:t>ntar Kelompok</w:t>
      </w: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2127"/>
        <w:gridCol w:w="4536"/>
        <w:gridCol w:w="2964"/>
      </w:tblGrid>
      <w:tr w:rsidR="000A1226" w:rsidRPr="00AD5228" w14:paraId="36FC8D03" w14:textId="77777777" w:rsidTr="00AD5228">
        <w:trPr>
          <w:trHeight w:val="379"/>
        </w:trPr>
        <w:tc>
          <w:tcPr>
            <w:tcW w:w="2127" w:type="dxa"/>
            <w:tcBorders>
              <w:top w:val="single" w:sz="4" w:space="0" w:color="auto"/>
              <w:left w:val="nil"/>
              <w:bottom w:val="single" w:sz="4" w:space="0" w:color="auto"/>
              <w:right w:val="nil"/>
            </w:tcBorders>
            <w:vAlign w:val="center"/>
          </w:tcPr>
          <w:p w14:paraId="491F86EE" w14:textId="77777777" w:rsidR="000A1226" w:rsidRPr="00AD5228" w:rsidRDefault="000A1226" w:rsidP="007D13A2">
            <w:pPr>
              <w:spacing w:line="276" w:lineRule="auto"/>
              <w:jc w:val="center"/>
              <w:rPr>
                <w:sz w:val="20"/>
                <w:szCs w:val="20"/>
              </w:rPr>
            </w:pPr>
            <w:proofErr w:type="spellStart"/>
            <w:r w:rsidRPr="00AD5228">
              <w:rPr>
                <w:sz w:val="20"/>
                <w:szCs w:val="20"/>
              </w:rPr>
              <w:t>Kelompok</w:t>
            </w:r>
            <w:proofErr w:type="spellEnd"/>
          </w:p>
        </w:tc>
        <w:tc>
          <w:tcPr>
            <w:tcW w:w="4536" w:type="dxa"/>
            <w:tcBorders>
              <w:top w:val="single" w:sz="4" w:space="0" w:color="auto"/>
              <w:left w:val="nil"/>
              <w:bottom w:val="single" w:sz="4" w:space="0" w:color="auto"/>
              <w:right w:val="nil"/>
            </w:tcBorders>
            <w:vAlign w:val="center"/>
            <w:hideMark/>
          </w:tcPr>
          <w:p w14:paraId="598840E9" w14:textId="77777777" w:rsidR="000A1226" w:rsidRPr="00AD5228" w:rsidRDefault="000A1226" w:rsidP="007D13A2">
            <w:pPr>
              <w:spacing w:line="276" w:lineRule="auto"/>
              <w:jc w:val="center"/>
              <w:rPr>
                <w:sz w:val="20"/>
                <w:szCs w:val="20"/>
                <w:lang w:val="id-ID"/>
              </w:rPr>
            </w:pPr>
            <w:r w:rsidRPr="00AD5228">
              <w:rPr>
                <w:sz w:val="20"/>
                <w:szCs w:val="20"/>
              </w:rPr>
              <w:t>Mean</w:t>
            </w:r>
            <w:r w:rsidRPr="00AD5228">
              <w:rPr>
                <w:sz w:val="20"/>
                <w:szCs w:val="20"/>
                <w:lang w:val="id-ID"/>
              </w:rPr>
              <w:t xml:space="preserve"> (mg/dl) </w:t>
            </w:r>
            <w:r w:rsidRPr="00AD5228">
              <w:rPr>
                <w:sz w:val="20"/>
                <w:szCs w:val="20"/>
              </w:rPr>
              <w:t>± SD</w:t>
            </w:r>
          </w:p>
        </w:tc>
        <w:tc>
          <w:tcPr>
            <w:tcW w:w="2964" w:type="dxa"/>
            <w:tcBorders>
              <w:top w:val="single" w:sz="4" w:space="0" w:color="auto"/>
              <w:left w:val="nil"/>
              <w:bottom w:val="single" w:sz="4" w:space="0" w:color="auto"/>
              <w:right w:val="nil"/>
            </w:tcBorders>
            <w:vAlign w:val="center"/>
          </w:tcPr>
          <w:p w14:paraId="5B2F0C6D" w14:textId="77777777" w:rsidR="000A1226" w:rsidRPr="00AD5228" w:rsidRDefault="000A1226" w:rsidP="007D13A2">
            <w:pPr>
              <w:spacing w:line="276" w:lineRule="auto"/>
              <w:jc w:val="center"/>
              <w:rPr>
                <w:sz w:val="20"/>
                <w:szCs w:val="20"/>
              </w:rPr>
            </w:pPr>
            <w:r w:rsidRPr="00AD5228">
              <w:rPr>
                <w:sz w:val="20"/>
                <w:szCs w:val="20"/>
              </w:rPr>
              <w:t>P</w:t>
            </w:r>
          </w:p>
        </w:tc>
      </w:tr>
      <w:tr w:rsidR="000A1226" w:rsidRPr="00AD5228" w14:paraId="6212C8BA" w14:textId="77777777" w:rsidTr="00AD5228">
        <w:trPr>
          <w:trHeight w:val="296"/>
        </w:trPr>
        <w:tc>
          <w:tcPr>
            <w:tcW w:w="2127" w:type="dxa"/>
            <w:tcBorders>
              <w:top w:val="single" w:sz="4" w:space="0" w:color="auto"/>
              <w:left w:val="nil"/>
              <w:bottom w:val="nil"/>
              <w:right w:val="nil"/>
            </w:tcBorders>
            <w:hideMark/>
          </w:tcPr>
          <w:p w14:paraId="11BA76A6" w14:textId="77777777" w:rsidR="000A1226" w:rsidRPr="00AD5228" w:rsidRDefault="000A1226" w:rsidP="007D13A2">
            <w:pPr>
              <w:spacing w:line="276" w:lineRule="auto"/>
              <w:jc w:val="left"/>
              <w:rPr>
                <w:sz w:val="20"/>
                <w:szCs w:val="20"/>
              </w:rPr>
            </w:pPr>
            <w:r w:rsidRPr="00AD5228">
              <w:rPr>
                <w:sz w:val="20"/>
                <w:szCs w:val="20"/>
              </w:rPr>
              <w:t>K (-)</w:t>
            </w:r>
          </w:p>
        </w:tc>
        <w:tc>
          <w:tcPr>
            <w:tcW w:w="4536" w:type="dxa"/>
            <w:tcBorders>
              <w:top w:val="single" w:sz="4" w:space="0" w:color="auto"/>
              <w:left w:val="nil"/>
              <w:bottom w:val="nil"/>
              <w:right w:val="nil"/>
            </w:tcBorders>
            <w:hideMark/>
          </w:tcPr>
          <w:p w14:paraId="39666784" w14:textId="77777777" w:rsidR="000A1226" w:rsidRPr="00AD5228" w:rsidRDefault="000A1226" w:rsidP="007D13A2">
            <w:pPr>
              <w:spacing w:line="276" w:lineRule="auto"/>
              <w:jc w:val="center"/>
              <w:rPr>
                <w:sz w:val="20"/>
                <w:szCs w:val="20"/>
                <w:lang w:val="id-ID"/>
              </w:rPr>
            </w:pPr>
            <w:r w:rsidRPr="00AD5228">
              <w:rPr>
                <w:sz w:val="20"/>
                <w:szCs w:val="20"/>
                <w:lang w:val="id-ID"/>
              </w:rPr>
              <w:t>1,75</w:t>
            </w:r>
            <w:r w:rsidRPr="00AD5228">
              <w:rPr>
                <w:rFonts w:eastAsia="Times New Roman"/>
                <w:bCs/>
                <w:color w:val="000000"/>
                <w:sz w:val="20"/>
                <w:szCs w:val="20"/>
                <w:vertAlign w:val="superscript"/>
                <w:lang w:val="id-ID"/>
              </w:rPr>
              <w:t>a</w:t>
            </w:r>
            <w:r w:rsidRPr="00AD5228">
              <w:rPr>
                <w:sz w:val="20"/>
                <w:szCs w:val="20"/>
              </w:rPr>
              <w:t xml:space="preserve"> ± </w:t>
            </w:r>
            <w:r w:rsidRPr="00AD5228">
              <w:rPr>
                <w:sz w:val="20"/>
                <w:szCs w:val="20"/>
                <w:lang w:val="id-ID"/>
              </w:rPr>
              <w:t>0,41</w:t>
            </w:r>
          </w:p>
        </w:tc>
        <w:tc>
          <w:tcPr>
            <w:tcW w:w="2964" w:type="dxa"/>
            <w:vMerge w:val="restart"/>
            <w:tcBorders>
              <w:top w:val="single" w:sz="4" w:space="0" w:color="auto"/>
              <w:left w:val="nil"/>
              <w:bottom w:val="single" w:sz="4" w:space="0" w:color="auto"/>
              <w:right w:val="nil"/>
            </w:tcBorders>
          </w:tcPr>
          <w:p w14:paraId="289E090C" w14:textId="77777777" w:rsidR="000A1226" w:rsidRPr="00AD5228" w:rsidRDefault="000A1226" w:rsidP="007D13A2">
            <w:pPr>
              <w:spacing w:line="276" w:lineRule="auto"/>
              <w:jc w:val="center"/>
              <w:rPr>
                <w:sz w:val="20"/>
                <w:szCs w:val="20"/>
              </w:rPr>
            </w:pPr>
          </w:p>
          <w:p w14:paraId="51CDDFE2" w14:textId="77777777" w:rsidR="000A1226" w:rsidRPr="00AD5228" w:rsidRDefault="000A1226" w:rsidP="007D13A2">
            <w:pPr>
              <w:spacing w:line="276" w:lineRule="auto"/>
              <w:jc w:val="center"/>
              <w:rPr>
                <w:sz w:val="20"/>
                <w:szCs w:val="20"/>
              </w:rPr>
            </w:pPr>
            <w:r w:rsidRPr="00AD5228">
              <w:rPr>
                <w:sz w:val="20"/>
                <w:szCs w:val="20"/>
              </w:rPr>
              <w:t>0,0</w:t>
            </w:r>
            <w:r w:rsidRPr="00AD5228">
              <w:rPr>
                <w:sz w:val="20"/>
                <w:szCs w:val="20"/>
                <w:lang w:val="id-ID"/>
              </w:rPr>
              <w:t>13</w:t>
            </w:r>
            <w:r w:rsidRPr="00AD5228">
              <w:rPr>
                <w:sz w:val="20"/>
                <w:szCs w:val="20"/>
              </w:rPr>
              <w:t>*</w:t>
            </w:r>
          </w:p>
        </w:tc>
      </w:tr>
      <w:tr w:rsidR="000A1226" w:rsidRPr="00AD5228" w14:paraId="6D10B058" w14:textId="77777777" w:rsidTr="00AD5228">
        <w:trPr>
          <w:trHeight w:val="296"/>
        </w:trPr>
        <w:tc>
          <w:tcPr>
            <w:tcW w:w="2127" w:type="dxa"/>
            <w:tcBorders>
              <w:top w:val="nil"/>
              <w:left w:val="nil"/>
              <w:bottom w:val="nil"/>
              <w:right w:val="nil"/>
            </w:tcBorders>
            <w:hideMark/>
          </w:tcPr>
          <w:p w14:paraId="05AB696E" w14:textId="77777777" w:rsidR="000A1226" w:rsidRPr="00AD5228" w:rsidRDefault="000A1226" w:rsidP="007D13A2">
            <w:pPr>
              <w:spacing w:line="276" w:lineRule="auto"/>
              <w:jc w:val="left"/>
              <w:rPr>
                <w:sz w:val="20"/>
                <w:szCs w:val="20"/>
              </w:rPr>
            </w:pPr>
            <w:r w:rsidRPr="00AD5228">
              <w:rPr>
                <w:sz w:val="20"/>
                <w:szCs w:val="20"/>
              </w:rPr>
              <w:t>K (+)</w:t>
            </w:r>
          </w:p>
        </w:tc>
        <w:tc>
          <w:tcPr>
            <w:tcW w:w="4536" w:type="dxa"/>
            <w:tcBorders>
              <w:top w:val="nil"/>
              <w:left w:val="nil"/>
              <w:bottom w:val="nil"/>
              <w:right w:val="nil"/>
            </w:tcBorders>
            <w:hideMark/>
          </w:tcPr>
          <w:p w14:paraId="1BF85CFB" w14:textId="77777777" w:rsidR="000A1226" w:rsidRPr="00AD5228" w:rsidRDefault="000A1226" w:rsidP="007D13A2">
            <w:pPr>
              <w:spacing w:line="276" w:lineRule="auto"/>
              <w:jc w:val="center"/>
              <w:rPr>
                <w:sz w:val="20"/>
                <w:szCs w:val="20"/>
                <w:lang w:val="id-ID"/>
              </w:rPr>
            </w:pPr>
            <w:r w:rsidRPr="00AD5228">
              <w:rPr>
                <w:sz w:val="20"/>
                <w:szCs w:val="20"/>
                <w:lang w:val="id-ID"/>
              </w:rPr>
              <w:t>2,41</w:t>
            </w:r>
            <w:r w:rsidRPr="00AD5228">
              <w:rPr>
                <w:rFonts w:eastAsia="Times New Roman"/>
                <w:bCs/>
                <w:color w:val="000000"/>
                <w:sz w:val="20"/>
                <w:szCs w:val="20"/>
                <w:vertAlign w:val="superscript"/>
                <w:lang w:val="id-ID"/>
              </w:rPr>
              <w:t>b</w:t>
            </w:r>
            <w:r w:rsidRPr="00AD5228">
              <w:rPr>
                <w:sz w:val="20"/>
                <w:szCs w:val="20"/>
              </w:rPr>
              <w:t xml:space="preserve"> ± </w:t>
            </w:r>
            <w:r w:rsidRPr="00AD5228">
              <w:rPr>
                <w:sz w:val="20"/>
                <w:szCs w:val="20"/>
                <w:lang w:val="id-ID"/>
              </w:rPr>
              <w:t>0,54</w:t>
            </w:r>
          </w:p>
        </w:tc>
        <w:tc>
          <w:tcPr>
            <w:tcW w:w="2964" w:type="dxa"/>
            <w:vMerge/>
            <w:tcBorders>
              <w:top w:val="single" w:sz="4" w:space="0" w:color="auto"/>
              <w:left w:val="nil"/>
              <w:bottom w:val="single" w:sz="4" w:space="0" w:color="auto"/>
              <w:right w:val="nil"/>
            </w:tcBorders>
            <w:vAlign w:val="center"/>
            <w:hideMark/>
          </w:tcPr>
          <w:p w14:paraId="2213CF9E" w14:textId="77777777" w:rsidR="000A1226" w:rsidRPr="00AD5228" w:rsidRDefault="000A1226" w:rsidP="007D13A2">
            <w:pPr>
              <w:spacing w:line="276" w:lineRule="auto"/>
              <w:rPr>
                <w:sz w:val="20"/>
                <w:szCs w:val="20"/>
              </w:rPr>
            </w:pPr>
          </w:p>
        </w:tc>
      </w:tr>
      <w:tr w:rsidR="000A1226" w:rsidRPr="00AD5228" w14:paraId="75A8AC92" w14:textId="77777777" w:rsidTr="00AD5228">
        <w:trPr>
          <w:trHeight w:val="313"/>
        </w:trPr>
        <w:tc>
          <w:tcPr>
            <w:tcW w:w="2127" w:type="dxa"/>
            <w:tcBorders>
              <w:top w:val="nil"/>
              <w:left w:val="nil"/>
              <w:bottom w:val="single" w:sz="4" w:space="0" w:color="auto"/>
              <w:right w:val="nil"/>
            </w:tcBorders>
            <w:hideMark/>
          </w:tcPr>
          <w:p w14:paraId="344A18E7" w14:textId="77777777" w:rsidR="000A1226" w:rsidRPr="00AD5228" w:rsidRDefault="000A1226" w:rsidP="007D13A2">
            <w:pPr>
              <w:spacing w:line="276" w:lineRule="auto"/>
              <w:jc w:val="left"/>
              <w:rPr>
                <w:sz w:val="20"/>
                <w:szCs w:val="20"/>
              </w:rPr>
            </w:pPr>
            <w:r w:rsidRPr="00AD5228">
              <w:rPr>
                <w:sz w:val="20"/>
                <w:szCs w:val="20"/>
              </w:rPr>
              <w:t>P</w:t>
            </w:r>
          </w:p>
        </w:tc>
        <w:tc>
          <w:tcPr>
            <w:tcW w:w="4536" w:type="dxa"/>
            <w:tcBorders>
              <w:top w:val="nil"/>
              <w:left w:val="nil"/>
              <w:bottom w:val="single" w:sz="4" w:space="0" w:color="auto"/>
              <w:right w:val="nil"/>
            </w:tcBorders>
            <w:hideMark/>
          </w:tcPr>
          <w:p w14:paraId="19AA365A" w14:textId="77777777" w:rsidR="000A1226" w:rsidRPr="00AD5228" w:rsidRDefault="000A1226" w:rsidP="007D13A2">
            <w:pPr>
              <w:spacing w:line="276" w:lineRule="auto"/>
              <w:jc w:val="center"/>
              <w:rPr>
                <w:sz w:val="20"/>
                <w:szCs w:val="20"/>
                <w:lang w:val="id-ID"/>
              </w:rPr>
            </w:pPr>
            <w:r w:rsidRPr="00AD5228">
              <w:rPr>
                <w:sz w:val="20"/>
                <w:szCs w:val="20"/>
                <w:lang w:val="id-ID"/>
              </w:rPr>
              <w:t>1,63</w:t>
            </w:r>
            <w:r w:rsidRPr="00AD5228">
              <w:rPr>
                <w:rFonts w:eastAsia="Times New Roman"/>
                <w:bCs/>
                <w:color w:val="000000"/>
                <w:sz w:val="20"/>
                <w:szCs w:val="20"/>
                <w:vertAlign w:val="superscript"/>
                <w:lang w:val="id-ID"/>
              </w:rPr>
              <w:t>a</w:t>
            </w:r>
            <w:r w:rsidRPr="00AD5228">
              <w:rPr>
                <w:sz w:val="20"/>
                <w:szCs w:val="20"/>
              </w:rPr>
              <w:t xml:space="preserve"> ± </w:t>
            </w:r>
            <w:r w:rsidRPr="00AD5228">
              <w:rPr>
                <w:sz w:val="20"/>
                <w:szCs w:val="20"/>
                <w:lang w:val="id-ID"/>
              </w:rPr>
              <w:t>0,27</w:t>
            </w:r>
          </w:p>
        </w:tc>
        <w:tc>
          <w:tcPr>
            <w:tcW w:w="2964" w:type="dxa"/>
            <w:vMerge/>
            <w:tcBorders>
              <w:top w:val="single" w:sz="4" w:space="0" w:color="auto"/>
              <w:left w:val="nil"/>
              <w:bottom w:val="single" w:sz="4" w:space="0" w:color="auto"/>
              <w:right w:val="nil"/>
            </w:tcBorders>
            <w:vAlign w:val="center"/>
            <w:hideMark/>
          </w:tcPr>
          <w:p w14:paraId="31F3EBC5" w14:textId="77777777" w:rsidR="000A1226" w:rsidRPr="00AD5228" w:rsidRDefault="000A1226" w:rsidP="007D13A2">
            <w:pPr>
              <w:spacing w:line="276" w:lineRule="auto"/>
              <w:rPr>
                <w:sz w:val="20"/>
                <w:szCs w:val="20"/>
              </w:rPr>
            </w:pPr>
          </w:p>
        </w:tc>
      </w:tr>
    </w:tbl>
    <w:p w14:paraId="62F14C3B" w14:textId="77777777" w:rsidR="009D08D1" w:rsidRDefault="000A1226" w:rsidP="007D13A2">
      <w:pPr>
        <w:spacing w:line="276" w:lineRule="auto"/>
        <w:rPr>
          <w:sz w:val="20"/>
          <w:lang w:val="id-ID"/>
        </w:rPr>
      </w:pPr>
      <w:r w:rsidRPr="00EE660B">
        <w:rPr>
          <w:sz w:val="20"/>
          <w:lang w:val="id-ID"/>
        </w:rPr>
        <w:t>Keterangan: *signifikan p &lt; 0,05. Angka yang didampingi huruf m</w:t>
      </w:r>
      <w:r w:rsidR="00ED0C74">
        <w:rPr>
          <w:sz w:val="20"/>
          <w:lang w:val="id-ID"/>
        </w:rPr>
        <w:t>enandakan perbedaan yang bermakna</w:t>
      </w:r>
      <w:r w:rsidRPr="00EE660B">
        <w:rPr>
          <w:sz w:val="20"/>
          <w:lang w:val="id-ID"/>
        </w:rPr>
        <w:t>, dan jika huruf yang sama artinya tid</w:t>
      </w:r>
      <w:r w:rsidR="00ED0C74">
        <w:rPr>
          <w:sz w:val="20"/>
          <w:lang w:val="id-ID"/>
        </w:rPr>
        <w:t>ak ada perbedaan yang bermakna.</w:t>
      </w:r>
      <w:r w:rsidR="001E6E0B">
        <w:rPr>
          <w:sz w:val="20"/>
          <w:lang w:val="id-ID"/>
        </w:rPr>
        <w:t xml:space="preserve"> </w:t>
      </w:r>
    </w:p>
    <w:p w14:paraId="5E06628D" w14:textId="77777777" w:rsidR="008E0A7B" w:rsidRPr="001E6E0B" w:rsidRDefault="008E0A7B" w:rsidP="007D13A2">
      <w:pPr>
        <w:spacing w:line="276" w:lineRule="auto"/>
        <w:rPr>
          <w:sz w:val="20"/>
          <w:lang w:val="id-ID"/>
        </w:rPr>
      </w:pPr>
    </w:p>
    <w:p w14:paraId="35FFA360" w14:textId="77777777" w:rsidR="001E6E0B" w:rsidRDefault="001E6E0B" w:rsidP="007D13A2">
      <w:pPr>
        <w:spacing w:line="276" w:lineRule="auto"/>
        <w:ind w:firstLine="567"/>
        <w:rPr>
          <w:szCs w:val="24"/>
          <w:lang w:val="id-ID"/>
        </w:rPr>
      </w:pPr>
      <w:r>
        <w:rPr>
          <w:lang w:val="id-ID"/>
        </w:rPr>
        <w:t xml:space="preserve">Berdasarkan Tabel 5 </w:t>
      </w:r>
      <w:r w:rsidRPr="00C74B83">
        <w:rPr>
          <w:szCs w:val="24"/>
          <w:lang w:val="id-ID"/>
        </w:rPr>
        <w:t xml:space="preserve">hasil uji </w:t>
      </w:r>
      <w:r w:rsidRPr="00C74B83">
        <w:rPr>
          <w:i/>
          <w:szCs w:val="24"/>
          <w:lang w:val="id-ID"/>
        </w:rPr>
        <w:t>One Way Anova</w:t>
      </w:r>
      <w:r w:rsidRPr="00C74B83">
        <w:rPr>
          <w:szCs w:val="24"/>
          <w:lang w:val="id-ID"/>
        </w:rPr>
        <w:t xml:space="preserve"> didapatkan nilai signifikansi p = 0,0</w:t>
      </w:r>
      <w:r>
        <w:rPr>
          <w:szCs w:val="24"/>
          <w:lang w:val="id-ID"/>
        </w:rPr>
        <w:t>13</w:t>
      </w:r>
      <w:r w:rsidRPr="00C74B83">
        <w:rPr>
          <w:szCs w:val="24"/>
          <w:lang w:val="id-ID"/>
        </w:rPr>
        <w:t xml:space="preserve"> (p &lt; 0,05) </w:t>
      </w:r>
      <w:r w:rsidRPr="00C74B83">
        <w:rPr>
          <w:lang w:val="id-ID"/>
        </w:rPr>
        <w:t>yang berarti</w:t>
      </w:r>
      <w:r>
        <w:rPr>
          <w:b/>
          <w:lang w:val="id-ID"/>
        </w:rPr>
        <w:t xml:space="preserve"> </w:t>
      </w:r>
      <w:r w:rsidRPr="00C74B83">
        <w:rPr>
          <w:lang w:val="id-ID"/>
        </w:rPr>
        <w:t xml:space="preserve">terdapat perbedaan kadar asam urat antara ketiga kelompok sesudah pemberian minuman Sinom. </w:t>
      </w:r>
      <w:r>
        <w:rPr>
          <w:szCs w:val="24"/>
          <w:lang w:val="id-ID"/>
        </w:rPr>
        <w:t xml:space="preserve">Berdasarkan hasil uji </w:t>
      </w:r>
      <w:r>
        <w:rPr>
          <w:i/>
          <w:lang w:val="id-ID"/>
        </w:rPr>
        <w:t xml:space="preserve">Post Hoc </w:t>
      </w:r>
      <w:r>
        <w:rPr>
          <w:lang w:val="id-ID"/>
        </w:rPr>
        <w:t>dapat diketahui bahwa</w:t>
      </w:r>
      <w:r w:rsidR="00FA13BB">
        <w:rPr>
          <w:lang w:val="id-ID"/>
        </w:rPr>
        <w:t xml:space="preserve"> kelompok yang mengalami perbedaan bermakna yaitu kelompok K(-) dengan (K+) dan K(+) dengan P, sedangkan kelompok (K-) dengan P tidak ada perbedaan. </w:t>
      </w:r>
      <w:r w:rsidR="00FF30F4" w:rsidRPr="00C74B83">
        <w:rPr>
          <w:szCs w:val="24"/>
          <w:lang w:val="nl-NL"/>
        </w:rPr>
        <w:t>Hal ini disebabkan</w:t>
      </w:r>
      <w:r w:rsidR="00FF30F4">
        <w:rPr>
          <w:szCs w:val="24"/>
          <w:lang w:val="id-ID"/>
        </w:rPr>
        <w:t xml:space="preserve"> </w:t>
      </w:r>
      <w:r w:rsidR="00FA13BB" w:rsidRPr="00C74B83">
        <w:rPr>
          <w:szCs w:val="24"/>
          <w:lang w:val="nl-NL"/>
        </w:rPr>
        <w:t xml:space="preserve">pada kelompok </w:t>
      </w:r>
      <w:r w:rsidR="00FA13BB">
        <w:rPr>
          <w:szCs w:val="24"/>
          <w:lang w:val="id-ID"/>
        </w:rPr>
        <w:t>P</w:t>
      </w:r>
      <w:r w:rsidR="00FF30F4" w:rsidRPr="00C74B83">
        <w:rPr>
          <w:szCs w:val="24"/>
          <w:lang w:val="nl-NL"/>
        </w:rPr>
        <w:t xml:space="preserve"> di</w:t>
      </w:r>
      <w:r w:rsidR="00FF30F4">
        <w:rPr>
          <w:szCs w:val="24"/>
          <w:lang w:val="id-ID"/>
        </w:rPr>
        <w:t xml:space="preserve"> </w:t>
      </w:r>
      <w:r w:rsidR="00FA13BB" w:rsidRPr="00C74B83">
        <w:rPr>
          <w:szCs w:val="24"/>
          <w:lang w:val="nl-NL"/>
        </w:rPr>
        <w:t xml:space="preserve">intervensi minuman sinom, sedangkan kelompok </w:t>
      </w:r>
      <w:r w:rsidR="00FA13BB">
        <w:rPr>
          <w:szCs w:val="24"/>
          <w:lang w:val="id-ID"/>
        </w:rPr>
        <w:t>K(+)</w:t>
      </w:r>
      <w:r w:rsidR="00FA13BB" w:rsidRPr="00C74B83">
        <w:rPr>
          <w:szCs w:val="24"/>
          <w:lang w:val="nl-NL"/>
        </w:rPr>
        <w:t xml:space="preserve"> tidak di</w:t>
      </w:r>
      <w:r w:rsidR="00FF30F4">
        <w:rPr>
          <w:szCs w:val="24"/>
          <w:lang w:val="id-ID"/>
        </w:rPr>
        <w:t xml:space="preserve"> </w:t>
      </w:r>
      <w:r w:rsidR="00FA13BB" w:rsidRPr="00C74B83">
        <w:rPr>
          <w:szCs w:val="24"/>
          <w:lang w:val="nl-NL"/>
        </w:rPr>
        <w:t>intervensi minuman sinom.</w:t>
      </w:r>
      <w:r w:rsidR="00FA13BB">
        <w:rPr>
          <w:szCs w:val="24"/>
          <w:lang w:val="id-ID"/>
        </w:rPr>
        <w:t xml:space="preserve"> </w:t>
      </w:r>
      <w:r w:rsidR="00FA13BB" w:rsidRPr="00C74B83">
        <w:rPr>
          <w:szCs w:val="24"/>
          <w:lang w:val="id-ID"/>
        </w:rPr>
        <w:t>Artinya kondisi tikus sakit yang diberi minuman sinom memiliki hasil yang sama dengan tikus sehat sehingga dapat dikatakan minuman sinom dapat menurunkan asam urat hingga normal.</w:t>
      </w:r>
    </w:p>
    <w:p w14:paraId="2B2B5FC9" w14:textId="77777777" w:rsidR="00FA13BB" w:rsidRPr="00314B19" w:rsidRDefault="00FA13BB" w:rsidP="007D13A2">
      <w:pPr>
        <w:spacing w:line="276" w:lineRule="auto"/>
        <w:ind w:firstLine="567"/>
        <w:rPr>
          <w:sz w:val="21"/>
          <w:szCs w:val="24"/>
          <w:lang w:val="id-ID"/>
        </w:rPr>
      </w:pPr>
      <w:r w:rsidRPr="00C74B83">
        <w:rPr>
          <w:szCs w:val="24"/>
          <w:lang w:val="id-ID"/>
        </w:rPr>
        <w:t>Penurunan kadar asam urat pada kelompok perlakuan disebabkan oleh minuman sinom yang mengandung vitamin C. Vitamin C memiliki hubungan dengan asam urat karena keduanya akan direabsorbsi di tubulus proksimal. Sehingga vitamin C berpengaruh terhadap sintesis asam urat karena dapat menurunkan stres oksidatif da</w:t>
      </w:r>
      <w:r w:rsidR="009A45E9">
        <w:rPr>
          <w:szCs w:val="24"/>
          <w:lang w:val="id-ID"/>
        </w:rPr>
        <w:t>n inflamasi.</w:t>
      </w:r>
      <w:r w:rsidR="00E37D2E" w:rsidRPr="00314B19">
        <w:rPr>
          <w:szCs w:val="24"/>
          <w:lang w:val="id-ID"/>
        </w:rPr>
        <w:fldChar w:fldCharType="begin" w:fldLock="1"/>
      </w:r>
      <w:r w:rsidR="00650E80">
        <w:rPr>
          <w:szCs w:val="24"/>
          <w:lang w:val="id-ID"/>
        </w:rPr>
        <w:instrText>ADDIN CSL_CITATION {"citationItems":[{"id":"ITEM-1","itemData":{"abstract":"Background : Uric acid is the end product of purine metabolism. If the serum uric acid has an excessive level, it can induce many diseases, such as gout. Moringa oleifera Lamk, known as \" daun kelor \" in Indonesia, has been used as a herb medicine for the treatment of gout, arthritis and other diseases because its phytochemical contains. The present of study was carried out to investigate the effect of moringa leaves infusion on serum uric acid in rats. Methods : Twelve Wistar rats with body weight of 150 – 180 g were grouped equally into two groups randomly. They were orally administered goat brain 2 g/rat/day for 8 days. After being given goat brain, control and treatment group were given aquades and moringa leaves infusion 3,6 ml for 14 days, respectively. Moringa leaves powder dose 3,75 g/kg bw was steeped with hot water (60 0","author":[{"dropping-particle":"","family":"Candra","given":"Aryu K","non-dropping-particle":"","parse-names":false,"suffix":""},{"dropping-particle":"","family":"Rahmawati","given":"","non-dropping-particle":"","parse-names":false,"suffix":""}],"container-title":"Journal of Nutrition College","id":"ITEM-1","issued":{"date-parts":[["2015"]]},"page":"593-598","title":"Pengaruh Pemberian Seduhan Daun Kelor (Moringa Oleifera Lamk) Terhadap Kadar Asam Urat Tikus Putih (Rattus norvegicus)","type":"article-journal","volume":"4(2)"},"uris":["http://www.mendeley.com/documents/?uuid=9dc56e07-17d5-46a7-89c1-d79d0637c170"]}],"mendeley":{"formattedCitation":"&lt;sup&gt;22&lt;/sup&gt;","plainTextFormattedCitation":"22","previouslyFormattedCitation":"&lt;sup&gt;22&lt;/sup&gt;"},"properties":{"noteIndex":0},"schema":"https://github.com/citation-style-language/schema/raw/master/csl-citation.json"}</w:instrText>
      </w:r>
      <w:r w:rsidR="00E37D2E" w:rsidRPr="00314B19">
        <w:rPr>
          <w:szCs w:val="24"/>
          <w:lang w:val="id-ID"/>
        </w:rPr>
        <w:fldChar w:fldCharType="separate"/>
      </w:r>
      <w:r w:rsidR="004E5F0B" w:rsidRPr="004E5F0B">
        <w:rPr>
          <w:noProof/>
          <w:szCs w:val="24"/>
          <w:vertAlign w:val="superscript"/>
          <w:lang w:val="id-ID"/>
        </w:rPr>
        <w:t>22</w:t>
      </w:r>
      <w:r w:rsidR="00E37D2E" w:rsidRPr="00314B19">
        <w:rPr>
          <w:szCs w:val="24"/>
          <w:lang w:val="id-ID"/>
        </w:rPr>
        <w:fldChar w:fldCharType="end"/>
      </w:r>
      <w:r w:rsidRPr="00C74B83">
        <w:rPr>
          <w:szCs w:val="24"/>
          <w:lang w:val="id-ID"/>
        </w:rPr>
        <w:t xml:space="preserve"> Minuman sinom selain mengandung vitamin C, juga mengandung flavonoid yang berperan d</w:t>
      </w:r>
      <w:r w:rsidR="00FF30F4" w:rsidRPr="00C74B83">
        <w:rPr>
          <w:szCs w:val="24"/>
          <w:lang w:val="id-ID"/>
        </w:rPr>
        <w:t>alam penurunan kadar asam urat.</w:t>
      </w:r>
      <w:r w:rsidR="00FF30F4">
        <w:rPr>
          <w:szCs w:val="24"/>
          <w:lang w:val="id-ID"/>
        </w:rPr>
        <w:t xml:space="preserve"> S</w:t>
      </w:r>
      <w:r w:rsidRPr="00C74B83">
        <w:rPr>
          <w:szCs w:val="24"/>
          <w:lang w:val="id-ID"/>
        </w:rPr>
        <w:t xml:space="preserve">enyawa flavonoid akan menghambat reaksi </w:t>
      </w:r>
      <w:r w:rsidRPr="00C74B83">
        <w:rPr>
          <w:i/>
          <w:szCs w:val="24"/>
          <w:lang w:val="id-ID"/>
        </w:rPr>
        <w:t xml:space="preserve">xantin oxsidase </w:t>
      </w:r>
      <w:r w:rsidRPr="00C74B83">
        <w:rPr>
          <w:szCs w:val="24"/>
          <w:lang w:val="id-ID"/>
        </w:rPr>
        <w:t xml:space="preserve">untuk mengubah </w:t>
      </w:r>
      <w:r w:rsidRPr="00C74B83">
        <w:rPr>
          <w:i/>
          <w:szCs w:val="24"/>
          <w:lang w:val="id-ID"/>
        </w:rPr>
        <w:t xml:space="preserve">xantin </w:t>
      </w:r>
      <w:r w:rsidRPr="00C74B83">
        <w:rPr>
          <w:szCs w:val="24"/>
          <w:lang w:val="id-ID"/>
        </w:rPr>
        <w:t xml:space="preserve">menjadi asam urat. Hal ini disebabkan karena flavonoid memiliki struktur yang mirip dengan </w:t>
      </w:r>
      <w:r w:rsidRPr="00C74B83">
        <w:rPr>
          <w:i/>
          <w:szCs w:val="24"/>
          <w:lang w:val="id-ID"/>
        </w:rPr>
        <w:t>xantin</w:t>
      </w:r>
      <w:r w:rsidRPr="00C74B83">
        <w:rPr>
          <w:szCs w:val="24"/>
          <w:lang w:val="id-ID"/>
        </w:rPr>
        <w:t xml:space="preserve">. Ikatan flavonoid dengan </w:t>
      </w:r>
      <w:r w:rsidRPr="00C74B83">
        <w:rPr>
          <w:i/>
          <w:szCs w:val="24"/>
          <w:lang w:val="id-ID"/>
        </w:rPr>
        <w:t>xantin oksodase</w:t>
      </w:r>
      <w:r w:rsidRPr="00C74B83">
        <w:rPr>
          <w:szCs w:val="24"/>
          <w:lang w:val="id-ID"/>
        </w:rPr>
        <w:t xml:space="preserve"> lebih banyak daripada ikatan </w:t>
      </w:r>
      <w:r w:rsidRPr="00C74B83">
        <w:rPr>
          <w:i/>
          <w:szCs w:val="24"/>
          <w:lang w:val="id-ID"/>
        </w:rPr>
        <w:t>xantin</w:t>
      </w:r>
      <w:r w:rsidRPr="00C74B83">
        <w:rPr>
          <w:szCs w:val="24"/>
          <w:lang w:val="id-ID"/>
        </w:rPr>
        <w:t xml:space="preserve"> dengan </w:t>
      </w:r>
      <w:r w:rsidRPr="00C74B83">
        <w:rPr>
          <w:i/>
          <w:szCs w:val="24"/>
          <w:lang w:val="id-ID"/>
        </w:rPr>
        <w:t>xantin oksodase</w:t>
      </w:r>
      <w:r w:rsidRPr="00C74B83">
        <w:rPr>
          <w:szCs w:val="24"/>
          <w:lang w:val="id-ID"/>
        </w:rPr>
        <w:t xml:space="preserve">. Artinya, yang lebih banyak dioksidasi oleh </w:t>
      </w:r>
      <w:r w:rsidRPr="00C74B83">
        <w:rPr>
          <w:i/>
          <w:szCs w:val="24"/>
          <w:lang w:val="id-ID"/>
        </w:rPr>
        <w:t>xantin oksodase</w:t>
      </w:r>
      <w:r w:rsidRPr="00C74B83">
        <w:rPr>
          <w:szCs w:val="24"/>
          <w:lang w:val="id-ID"/>
        </w:rPr>
        <w:t xml:space="preserve"> adalah flavonoid. Sehingga </w:t>
      </w:r>
      <w:r w:rsidRPr="00C74B83">
        <w:rPr>
          <w:i/>
          <w:szCs w:val="24"/>
          <w:lang w:val="id-ID"/>
        </w:rPr>
        <w:t xml:space="preserve">xantin </w:t>
      </w:r>
      <w:r w:rsidRPr="00C74B83">
        <w:rPr>
          <w:szCs w:val="24"/>
          <w:lang w:val="id-ID"/>
        </w:rPr>
        <w:t>yang tidak teroksidasi akan larut dan mudah diekskresi melalui urin dan menyebabkan konsentrasi kada</w:t>
      </w:r>
      <w:r w:rsidR="00FF30F4" w:rsidRPr="00C74B83">
        <w:rPr>
          <w:szCs w:val="24"/>
          <w:lang w:val="id-ID"/>
        </w:rPr>
        <w:t>r asam urat dalam darah menurun</w:t>
      </w:r>
      <w:r w:rsidR="009A45E9">
        <w:rPr>
          <w:szCs w:val="24"/>
          <w:lang w:val="id-ID"/>
        </w:rPr>
        <w:t>.</w:t>
      </w:r>
      <w:r w:rsidR="00591744" w:rsidRPr="00314B19">
        <w:rPr>
          <w:szCs w:val="24"/>
          <w:lang w:val="id-ID"/>
        </w:rPr>
        <w:fldChar w:fldCharType="begin" w:fldLock="1"/>
      </w:r>
      <w:r w:rsidR="00650E80">
        <w:rPr>
          <w:szCs w:val="24"/>
          <w:lang w:val="id-ID"/>
        </w:rPr>
        <w:instrText>ADDIN CSL_CITATION {"citationItems":[{"id":"ITEM-1","itemData":{"DOI":"10.33096/umj.v2i1.15","ISSN":"2548-4079","abstract":"Latar belakang : Asam urat merupakan hasil metabolisme purin yang diproduksi dari senyawa purin endogen maupun dari makanan. Hiperurisemia dapat dianggap suatu kondisi terkait dengan peningkatan risiko terhadap penyakit gout, penyakit kardiovaskular, hipertensi dan penyakit metabolik. Pemanfaatan tanaman herbal untuk mengatasi hiperurisemia dan untuk mengurangi efek samping yang diakibatkan oleh pemberian obat-obatan antihiperurisemia.\r Metode : Penelitian ini adalah jenis penelitian analitik dengan menggunakan Pre-Experimental Designs dengan metode pendekatan One Group Pre-test Post-test. Pengambilan sampel dilakukan dengan cara randomisasi sederhana (simple random sampling), di mana semua objek atau elemen populasi memiliki kesempatan yang sama sebagai sampel. Besar sampel yang digunakan dalam penelitian ini adalah sepuluh ekor mencit (Mus musculus) jantan tiap kelompok. Terdapat dua kelompok terdiri dari satu kelompok kontrol dan satu kelompok perlakuan. Total sampel yang digunakan adalah 20 ekor mencit. Mencit dibuat hiperurisemia dengann pemberian makanan tinggi purin yaitu melinjo yang dicampur dengan pelet serta jus hati ayam selama 9 hari. 10 ekor mencit pada kelompok kontrol diberikan aquades selama 7 hari, 10 ekor mencit pada kelompok perlakuan diberikan rebusan daun sirsak sebanyak 0.52ml/25gBB/hari selama 7 hari. Pada hari ke-9 dan hari ke-16 penelitian kedua kelompok mencit akan diukur kadar asam urat darahnya dengan alat ukur Nesco Multicheck®. Setelah itu, kadar asam urat kedua kelompok akan dibandingkan. Karena data berdistribusi normal, analisa uji hipotesis menggunakan uji beda T berpasangan dan dilanjutkan uji T independen.\r Hasil : Rebusan daun sirsak dapat menurunkan kadar asam urat darah mencit selama 7 hari pemberian (p&lt;0,05).\r Kesimpulan : Terdapat pengaruh yang bermakna dari rebusan daun sirsak terhadap penurunan kadar asam urat darah mencit.","author":[{"dropping-particle":"","family":"Tania Anissa","given":"Siti Shahrina","non-dropping-particle":"","parse-names":false,"suffix":""},{"dropping-particle":"","family":"Ainulhayati","given":"St","non-dropping-particle":"","parse-names":false,"suffix":""},{"dropping-particle":"","family":"Rasfayanah","given":"Rasfayanah","non-dropping-particle":"","parse-names":false,"suffix":""}],"container-title":"UMI Medical Journal","id":"ITEM-1","issue":"1","issued":{"date-parts":[["2019"]]},"page":"38-56","title":"Pengaruh Pemberian Air Rebusan Daun Sirsak (Annona muricata Linn.) terhadap Penurunan Kadar Asam Urat Darah Mencit (Mus musculus)","type":"article-journal","volume":"2"},"uris":["http://www.mendeley.com/documents/?uuid=51c50ca7-e0eb-4d9f-884e-717687aa731e"]}],"mendeley":{"formattedCitation":"&lt;sup&gt;23&lt;/sup&gt;","plainTextFormattedCitation":"23","previouslyFormattedCitation":"&lt;sup&gt;23&lt;/sup&gt;"},"properties":{"noteIndex":0},"schema":"https://github.com/citation-style-language/schema/raw/master/csl-citation.json"}</w:instrText>
      </w:r>
      <w:r w:rsidR="00591744" w:rsidRPr="00314B19">
        <w:rPr>
          <w:szCs w:val="24"/>
          <w:lang w:val="id-ID"/>
        </w:rPr>
        <w:fldChar w:fldCharType="separate"/>
      </w:r>
      <w:r w:rsidR="004E5F0B" w:rsidRPr="004E5F0B">
        <w:rPr>
          <w:noProof/>
          <w:szCs w:val="24"/>
          <w:vertAlign w:val="superscript"/>
          <w:lang w:val="id-ID"/>
        </w:rPr>
        <w:t>23</w:t>
      </w:r>
      <w:r w:rsidR="00591744" w:rsidRPr="00314B19">
        <w:rPr>
          <w:szCs w:val="24"/>
          <w:lang w:val="id-ID"/>
        </w:rPr>
        <w:fldChar w:fldCharType="end"/>
      </w:r>
    </w:p>
    <w:p w14:paraId="7618AB98" w14:textId="77777777" w:rsidR="00FC4A1A" w:rsidRPr="00161326" w:rsidRDefault="00FC4A1A" w:rsidP="00AD5228">
      <w:pPr>
        <w:spacing w:line="276" w:lineRule="auto"/>
        <w:rPr>
          <w:b/>
          <w:color w:val="FF0000"/>
          <w:lang w:val="id-ID"/>
        </w:rPr>
      </w:pPr>
    </w:p>
    <w:p w14:paraId="22BF7BA5" w14:textId="77777777" w:rsidR="00AD5228" w:rsidRPr="00AD5228" w:rsidRDefault="00AD5228" w:rsidP="00EF00A3">
      <w:pPr>
        <w:spacing w:line="276" w:lineRule="auto"/>
        <w:rPr>
          <w:b/>
          <w:lang w:val="id-ID"/>
        </w:rPr>
      </w:pPr>
      <w:r w:rsidRPr="00AD5228">
        <w:rPr>
          <w:b/>
          <w:lang w:val="id-ID"/>
        </w:rPr>
        <w:t xml:space="preserve">Analisis Perbedaan Kadar Asam Urat </w:t>
      </w:r>
      <w:r w:rsidRPr="00AD5228">
        <w:rPr>
          <w:b/>
          <w:i/>
          <w:lang w:val="id-ID"/>
        </w:rPr>
        <w:t>Pretest</w:t>
      </w:r>
      <w:r w:rsidRPr="00AD5228">
        <w:rPr>
          <w:b/>
          <w:lang w:val="id-ID"/>
        </w:rPr>
        <w:t xml:space="preserve"> dan </w:t>
      </w:r>
      <w:r w:rsidRPr="00AD5228">
        <w:rPr>
          <w:b/>
          <w:i/>
          <w:lang w:val="id-ID"/>
        </w:rPr>
        <w:t>Posttest</w:t>
      </w:r>
      <w:r w:rsidRPr="00AD5228">
        <w:rPr>
          <w:b/>
          <w:lang w:val="id-ID"/>
        </w:rPr>
        <w:t xml:space="preserve"> pada Setiap Kelompok</w:t>
      </w:r>
    </w:p>
    <w:p w14:paraId="26F7203E" w14:textId="77777777" w:rsidR="00AD5228" w:rsidRPr="00DD40A2" w:rsidRDefault="00AB35D2" w:rsidP="00DD40A2">
      <w:pPr>
        <w:spacing w:line="276" w:lineRule="auto"/>
        <w:ind w:firstLine="567"/>
        <w:rPr>
          <w:lang w:val="id-ID"/>
        </w:rPr>
      </w:pPr>
      <w:r>
        <w:rPr>
          <w:lang w:val="id-ID"/>
        </w:rPr>
        <w:t xml:space="preserve">Hasil uji normalitas dan homogenitas </w:t>
      </w:r>
      <w:r w:rsidRPr="009A45E9">
        <w:rPr>
          <w:lang w:val="id-ID"/>
        </w:rPr>
        <w:t xml:space="preserve">kadar asam urat </w:t>
      </w:r>
      <w:r w:rsidRPr="009A45E9">
        <w:rPr>
          <w:i/>
          <w:lang w:val="id-ID"/>
        </w:rPr>
        <w:t>pretest</w:t>
      </w:r>
      <w:r w:rsidRPr="009A45E9">
        <w:rPr>
          <w:lang w:val="id-ID"/>
        </w:rPr>
        <w:t xml:space="preserve"> dan</w:t>
      </w:r>
      <w:r w:rsidRPr="009A45E9">
        <w:rPr>
          <w:i/>
          <w:lang w:val="id-ID"/>
        </w:rPr>
        <w:t xml:space="preserve"> posttest </w:t>
      </w:r>
      <w:r>
        <w:rPr>
          <w:lang w:val="id-ID"/>
        </w:rPr>
        <w:t>menunjukkan</w:t>
      </w:r>
      <w:r w:rsidR="00DD40A2">
        <w:rPr>
          <w:lang w:val="id-ID"/>
        </w:rPr>
        <w:t xml:space="preserve"> </w:t>
      </w:r>
      <w:r w:rsidR="00CB720E" w:rsidRPr="009A45E9">
        <w:rPr>
          <w:szCs w:val="24"/>
          <w:lang w:val="id-ID"/>
        </w:rPr>
        <w:t>data berdistribusi normal</w:t>
      </w:r>
      <w:r w:rsidR="00CB720E">
        <w:rPr>
          <w:szCs w:val="24"/>
          <w:lang w:val="id-ID"/>
        </w:rPr>
        <w:t xml:space="preserve"> dan homogen</w:t>
      </w:r>
      <w:r w:rsidR="00DD40A2" w:rsidRPr="009A45E9">
        <w:rPr>
          <w:szCs w:val="24"/>
          <w:lang w:val="id-ID"/>
        </w:rPr>
        <w:t xml:space="preserve"> </w:t>
      </w:r>
      <w:r w:rsidR="00CB720E" w:rsidRPr="009A45E9">
        <w:rPr>
          <w:szCs w:val="24"/>
          <w:lang w:val="id-ID"/>
        </w:rPr>
        <w:t xml:space="preserve">dengan nilai p &gt; 0,05. </w:t>
      </w:r>
      <w:r w:rsidR="00AA5E49" w:rsidRPr="009A45E9">
        <w:rPr>
          <w:szCs w:val="24"/>
          <w:lang w:val="id-ID"/>
        </w:rPr>
        <w:t xml:space="preserve">Selanjutnya untuk mengetahui perbedaan kadar asam urat </w:t>
      </w:r>
      <w:r w:rsidR="00AA5E49" w:rsidRPr="009A45E9">
        <w:rPr>
          <w:bCs/>
          <w:i/>
          <w:szCs w:val="24"/>
          <w:lang w:val="id-ID"/>
        </w:rPr>
        <w:t xml:space="preserve">pretest </w:t>
      </w:r>
      <w:r w:rsidR="00AA5E49" w:rsidRPr="009A45E9">
        <w:rPr>
          <w:bCs/>
          <w:szCs w:val="24"/>
          <w:lang w:val="id-ID"/>
        </w:rPr>
        <w:t xml:space="preserve">dan </w:t>
      </w:r>
      <w:r w:rsidR="00AA5E49" w:rsidRPr="009A45E9">
        <w:rPr>
          <w:bCs/>
          <w:i/>
          <w:szCs w:val="24"/>
          <w:lang w:val="id-ID"/>
        </w:rPr>
        <w:t>p</w:t>
      </w:r>
      <w:r w:rsidR="00CB720E" w:rsidRPr="009A45E9">
        <w:rPr>
          <w:bCs/>
          <w:i/>
          <w:szCs w:val="24"/>
          <w:lang w:val="id-ID"/>
        </w:rPr>
        <w:t>ost</w:t>
      </w:r>
      <w:r w:rsidR="00AA5E49" w:rsidRPr="009A45E9">
        <w:rPr>
          <w:bCs/>
          <w:i/>
          <w:szCs w:val="24"/>
          <w:lang w:val="id-ID"/>
        </w:rPr>
        <w:t>test</w:t>
      </w:r>
      <w:r w:rsidR="00AA5E49" w:rsidRPr="009A45E9">
        <w:rPr>
          <w:szCs w:val="24"/>
          <w:lang w:val="id-ID"/>
        </w:rPr>
        <w:t xml:space="preserve"> dilakukan uji </w:t>
      </w:r>
      <w:r w:rsidR="00AA5E49" w:rsidRPr="009A45E9">
        <w:rPr>
          <w:i/>
          <w:szCs w:val="24"/>
          <w:lang w:val="id-ID"/>
        </w:rPr>
        <w:t xml:space="preserve">Paired T-Test. </w:t>
      </w:r>
    </w:p>
    <w:p w14:paraId="719C9FF2" w14:textId="77777777" w:rsidR="00053936" w:rsidRPr="00053936" w:rsidRDefault="00053936" w:rsidP="00053936">
      <w:pPr>
        <w:spacing w:line="276" w:lineRule="auto"/>
        <w:ind w:firstLine="567"/>
        <w:rPr>
          <w:i/>
          <w:szCs w:val="24"/>
          <w:lang w:val="id-ID"/>
        </w:rPr>
      </w:pPr>
    </w:p>
    <w:p w14:paraId="20B0F450" w14:textId="3202C410" w:rsidR="00AA5E49" w:rsidRDefault="000D7F3D" w:rsidP="00EF00A3">
      <w:pPr>
        <w:spacing w:line="276" w:lineRule="auto"/>
        <w:jc w:val="center"/>
        <w:rPr>
          <w:lang w:val="id-ID"/>
        </w:rPr>
      </w:pPr>
      <w:r>
        <w:rPr>
          <w:lang w:val="id-ID"/>
        </w:rPr>
        <w:t xml:space="preserve">Tabel </w:t>
      </w:r>
      <w:r w:rsidR="00823649" w:rsidRPr="00AB0D0F">
        <w:rPr>
          <w:lang w:val="id-ID"/>
        </w:rPr>
        <w:t>6</w:t>
      </w:r>
      <w:r>
        <w:rPr>
          <w:lang w:val="id-ID"/>
        </w:rPr>
        <w:t xml:space="preserve">. Analisis Perbedaan Kadar Asam Urat </w:t>
      </w:r>
      <w:r>
        <w:rPr>
          <w:i/>
          <w:lang w:val="id-ID"/>
        </w:rPr>
        <w:t xml:space="preserve">Pretest </w:t>
      </w:r>
      <w:r>
        <w:rPr>
          <w:lang w:val="id-ID"/>
        </w:rPr>
        <w:t xml:space="preserve">dan </w:t>
      </w:r>
      <w:r>
        <w:rPr>
          <w:i/>
          <w:lang w:val="id-ID"/>
        </w:rPr>
        <w:t xml:space="preserve">Posttest </w:t>
      </w:r>
      <w:r w:rsidR="00EF00A3">
        <w:t>T</w:t>
      </w:r>
      <w:r>
        <w:rPr>
          <w:lang w:val="id-ID"/>
        </w:rPr>
        <w:t>iap Kelompok</w:t>
      </w: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2127"/>
        <w:gridCol w:w="2835"/>
        <w:gridCol w:w="2551"/>
        <w:gridCol w:w="2096"/>
      </w:tblGrid>
      <w:tr w:rsidR="00053936" w:rsidRPr="001A6C7A" w14:paraId="1A9CDA22" w14:textId="77777777" w:rsidTr="00053936">
        <w:trPr>
          <w:trHeight w:val="282"/>
        </w:trPr>
        <w:tc>
          <w:tcPr>
            <w:tcW w:w="2127" w:type="dxa"/>
            <w:tcBorders>
              <w:top w:val="single" w:sz="4" w:space="0" w:color="auto"/>
              <w:left w:val="nil"/>
              <w:bottom w:val="single" w:sz="4" w:space="0" w:color="auto"/>
              <w:right w:val="nil"/>
            </w:tcBorders>
            <w:hideMark/>
          </w:tcPr>
          <w:p w14:paraId="3F995C08" w14:textId="77777777" w:rsidR="000D7F3D" w:rsidRPr="00AD5228" w:rsidRDefault="000D7F3D" w:rsidP="007D13A2">
            <w:pPr>
              <w:spacing w:line="276" w:lineRule="auto"/>
              <w:jc w:val="center"/>
              <w:rPr>
                <w:b/>
                <w:bCs/>
                <w:color w:val="000000"/>
                <w:sz w:val="20"/>
                <w:szCs w:val="20"/>
                <w:lang w:val="id-ID"/>
              </w:rPr>
            </w:pPr>
            <w:r w:rsidRPr="00AD5228">
              <w:rPr>
                <w:bCs/>
                <w:color w:val="000000"/>
                <w:sz w:val="20"/>
                <w:szCs w:val="20"/>
                <w:lang w:val="id-ID"/>
              </w:rPr>
              <w:t>Kelompok</w:t>
            </w:r>
          </w:p>
        </w:tc>
        <w:tc>
          <w:tcPr>
            <w:tcW w:w="2835" w:type="dxa"/>
            <w:tcBorders>
              <w:top w:val="single" w:sz="4" w:space="0" w:color="auto"/>
              <w:left w:val="nil"/>
              <w:bottom w:val="single" w:sz="4" w:space="0" w:color="auto"/>
              <w:right w:val="nil"/>
            </w:tcBorders>
            <w:hideMark/>
          </w:tcPr>
          <w:p w14:paraId="796C76DE" w14:textId="77777777" w:rsidR="000D7F3D" w:rsidRPr="00AD5228" w:rsidRDefault="000D7F3D" w:rsidP="007D13A2">
            <w:pPr>
              <w:spacing w:line="276" w:lineRule="auto"/>
              <w:jc w:val="center"/>
              <w:rPr>
                <w:b/>
                <w:bCs/>
                <w:i/>
                <w:color w:val="000000"/>
                <w:sz w:val="20"/>
                <w:szCs w:val="20"/>
                <w:lang w:val="id-ID"/>
              </w:rPr>
            </w:pPr>
            <w:r w:rsidRPr="009A45E9">
              <w:rPr>
                <w:bCs/>
                <w:i/>
                <w:color w:val="000000"/>
                <w:sz w:val="20"/>
                <w:szCs w:val="20"/>
                <w:lang w:val="id-ID"/>
              </w:rPr>
              <w:t>Pretest</w:t>
            </w:r>
          </w:p>
        </w:tc>
        <w:tc>
          <w:tcPr>
            <w:tcW w:w="2551" w:type="dxa"/>
            <w:tcBorders>
              <w:top w:val="single" w:sz="4" w:space="0" w:color="auto"/>
              <w:left w:val="nil"/>
              <w:bottom w:val="single" w:sz="4" w:space="0" w:color="auto"/>
              <w:right w:val="nil"/>
            </w:tcBorders>
            <w:hideMark/>
          </w:tcPr>
          <w:p w14:paraId="51192C4A" w14:textId="77777777" w:rsidR="000D7F3D" w:rsidRPr="00AD5228" w:rsidRDefault="000D7F3D" w:rsidP="007D13A2">
            <w:pPr>
              <w:spacing w:line="276" w:lineRule="auto"/>
              <w:jc w:val="center"/>
              <w:rPr>
                <w:b/>
                <w:bCs/>
                <w:i/>
                <w:color w:val="000000"/>
                <w:sz w:val="20"/>
                <w:szCs w:val="20"/>
                <w:lang w:val="id-ID"/>
              </w:rPr>
            </w:pPr>
            <w:r w:rsidRPr="009A45E9">
              <w:rPr>
                <w:bCs/>
                <w:i/>
                <w:color w:val="000000"/>
                <w:sz w:val="20"/>
                <w:szCs w:val="20"/>
                <w:lang w:val="id-ID"/>
              </w:rPr>
              <w:t>Posttest</w:t>
            </w:r>
          </w:p>
        </w:tc>
        <w:tc>
          <w:tcPr>
            <w:tcW w:w="2096" w:type="dxa"/>
            <w:tcBorders>
              <w:top w:val="single" w:sz="4" w:space="0" w:color="auto"/>
              <w:left w:val="nil"/>
              <w:bottom w:val="single" w:sz="4" w:space="0" w:color="auto"/>
              <w:right w:val="nil"/>
            </w:tcBorders>
            <w:hideMark/>
          </w:tcPr>
          <w:p w14:paraId="4DC506A6" w14:textId="77777777" w:rsidR="000D7F3D" w:rsidRPr="009A45E9" w:rsidRDefault="000D7F3D" w:rsidP="007D13A2">
            <w:pPr>
              <w:spacing w:line="276" w:lineRule="auto"/>
              <w:jc w:val="center"/>
              <w:rPr>
                <w:b/>
                <w:bCs/>
                <w:color w:val="000000"/>
                <w:sz w:val="20"/>
                <w:szCs w:val="20"/>
                <w:lang w:val="id-ID"/>
              </w:rPr>
            </w:pPr>
            <w:r w:rsidRPr="009A45E9">
              <w:rPr>
                <w:bCs/>
                <w:color w:val="000000"/>
                <w:sz w:val="20"/>
                <w:szCs w:val="20"/>
                <w:lang w:val="id-ID"/>
              </w:rPr>
              <w:t>P</w:t>
            </w:r>
          </w:p>
        </w:tc>
      </w:tr>
      <w:tr w:rsidR="00053936" w:rsidRPr="001A6C7A" w14:paraId="06900BA1" w14:textId="77777777" w:rsidTr="00053936">
        <w:trPr>
          <w:trHeight w:val="366"/>
        </w:trPr>
        <w:tc>
          <w:tcPr>
            <w:tcW w:w="2127" w:type="dxa"/>
            <w:tcBorders>
              <w:top w:val="single" w:sz="4" w:space="0" w:color="auto"/>
              <w:left w:val="nil"/>
              <w:bottom w:val="nil"/>
              <w:right w:val="nil"/>
            </w:tcBorders>
            <w:hideMark/>
          </w:tcPr>
          <w:p w14:paraId="0E691D4D" w14:textId="77777777" w:rsidR="000D7F3D" w:rsidRPr="00AD5228" w:rsidRDefault="000D7F3D" w:rsidP="007D13A2">
            <w:pPr>
              <w:spacing w:line="276" w:lineRule="auto"/>
              <w:jc w:val="left"/>
              <w:rPr>
                <w:b/>
                <w:bCs/>
                <w:color w:val="000000"/>
                <w:sz w:val="20"/>
                <w:szCs w:val="20"/>
                <w:lang w:val="id-ID"/>
              </w:rPr>
            </w:pPr>
            <w:r w:rsidRPr="009A45E9">
              <w:rPr>
                <w:bCs/>
                <w:color w:val="000000"/>
                <w:sz w:val="20"/>
                <w:szCs w:val="20"/>
                <w:lang w:val="id-ID"/>
              </w:rPr>
              <w:t>K (-)</w:t>
            </w:r>
          </w:p>
        </w:tc>
        <w:tc>
          <w:tcPr>
            <w:tcW w:w="2835" w:type="dxa"/>
            <w:tcBorders>
              <w:top w:val="single" w:sz="4" w:space="0" w:color="auto"/>
              <w:left w:val="nil"/>
              <w:bottom w:val="nil"/>
              <w:right w:val="nil"/>
            </w:tcBorders>
            <w:vAlign w:val="center"/>
            <w:hideMark/>
          </w:tcPr>
          <w:p w14:paraId="7195C95E" w14:textId="77777777" w:rsidR="000D7F3D" w:rsidRPr="009A45E9" w:rsidRDefault="000D7F3D" w:rsidP="007D13A2">
            <w:pPr>
              <w:spacing w:line="276" w:lineRule="auto"/>
              <w:jc w:val="center"/>
              <w:rPr>
                <w:sz w:val="20"/>
                <w:szCs w:val="20"/>
                <w:lang w:val="id-ID"/>
              </w:rPr>
            </w:pPr>
            <w:r w:rsidRPr="009A45E9">
              <w:rPr>
                <w:sz w:val="20"/>
                <w:szCs w:val="20"/>
                <w:lang w:val="id-ID"/>
              </w:rPr>
              <w:t>3,03 ± 0,82</w:t>
            </w:r>
          </w:p>
        </w:tc>
        <w:tc>
          <w:tcPr>
            <w:tcW w:w="2551" w:type="dxa"/>
            <w:tcBorders>
              <w:top w:val="single" w:sz="4" w:space="0" w:color="auto"/>
              <w:left w:val="nil"/>
              <w:bottom w:val="nil"/>
              <w:right w:val="nil"/>
            </w:tcBorders>
            <w:vAlign w:val="center"/>
            <w:hideMark/>
          </w:tcPr>
          <w:p w14:paraId="1A5B1668" w14:textId="77777777" w:rsidR="000D7F3D" w:rsidRPr="009A45E9" w:rsidRDefault="000D7F3D" w:rsidP="007D13A2">
            <w:pPr>
              <w:spacing w:line="276" w:lineRule="auto"/>
              <w:jc w:val="center"/>
              <w:rPr>
                <w:sz w:val="20"/>
                <w:szCs w:val="20"/>
                <w:lang w:val="id-ID"/>
              </w:rPr>
            </w:pPr>
            <w:r w:rsidRPr="009A45E9">
              <w:rPr>
                <w:sz w:val="20"/>
                <w:szCs w:val="20"/>
                <w:lang w:val="id-ID"/>
              </w:rPr>
              <w:t>1,75 ± 0,41</w:t>
            </w:r>
          </w:p>
        </w:tc>
        <w:tc>
          <w:tcPr>
            <w:tcW w:w="2096" w:type="dxa"/>
            <w:tcBorders>
              <w:top w:val="single" w:sz="4" w:space="0" w:color="auto"/>
              <w:left w:val="nil"/>
              <w:bottom w:val="nil"/>
              <w:right w:val="nil"/>
            </w:tcBorders>
            <w:vAlign w:val="center"/>
            <w:hideMark/>
          </w:tcPr>
          <w:p w14:paraId="337765FB" w14:textId="77777777" w:rsidR="000D7F3D" w:rsidRPr="009A45E9" w:rsidRDefault="000D7F3D" w:rsidP="007D13A2">
            <w:pPr>
              <w:spacing w:line="276" w:lineRule="auto"/>
              <w:jc w:val="center"/>
              <w:rPr>
                <w:sz w:val="20"/>
                <w:szCs w:val="20"/>
                <w:lang w:val="id-ID"/>
              </w:rPr>
            </w:pPr>
            <w:r w:rsidRPr="009A45E9">
              <w:rPr>
                <w:sz w:val="20"/>
                <w:szCs w:val="20"/>
                <w:lang w:val="id-ID"/>
              </w:rPr>
              <w:t>0,013</w:t>
            </w:r>
            <w:r w:rsidRPr="009A45E9">
              <w:rPr>
                <w:sz w:val="20"/>
                <w:szCs w:val="20"/>
                <w:vertAlign w:val="superscript"/>
                <w:lang w:val="id-ID"/>
              </w:rPr>
              <w:t>*</w:t>
            </w:r>
          </w:p>
        </w:tc>
      </w:tr>
      <w:tr w:rsidR="00053936" w:rsidRPr="001A6C7A" w14:paraId="58E45D04" w14:textId="77777777" w:rsidTr="00053936">
        <w:trPr>
          <w:trHeight w:val="366"/>
        </w:trPr>
        <w:tc>
          <w:tcPr>
            <w:tcW w:w="2127" w:type="dxa"/>
            <w:tcBorders>
              <w:top w:val="nil"/>
              <w:left w:val="nil"/>
              <w:bottom w:val="nil"/>
              <w:right w:val="nil"/>
            </w:tcBorders>
            <w:hideMark/>
          </w:tcPr>
          <w:p w14:paraId="5F1AD0DD" w14:textId="77777777" w:rsidR="000D7F3D" w:rsidRPr="00AD5228" w:rsidRDefault="000D7F3D" w:rsidP="007D13A2">
            <w:pPr>
              <w:spacing w:line="276" w:lineRule="auto"/>
              <w:jc w:val="left"/>
              <w:rPr>
                <w:b/>
                <w:bCs/>
                <w:color w:val="000000"/>
                <w:sz w:val="20"/>
                <w:szCs w:val="20"/>
                <w:lang w:val="id-ID"/>
              </w:rPr>
            </w:pPr>
            <w:r w:rsidRPr="009A45E9">
              <w:rPr>
                <w:bCs/>
                <w:color w:val="000000"/>
                <w:sz w:val="20"/>
                <w:szCs w:val="20"/>
                <w:lang w:val="id-ID"/>
              </w:rPr>
              <w:t>K (+)</w:t>
            </w:r>
          </w:p>
        </w:tc>
        <w:tc>
          <w:tcPr>
            <w:tcW w:w="2835" w:type="dxa"/>
            <w:tcBorders>
              <w:top w:val="nil"/>
              <w:left w:val="nil"/>
              <w:bottom w:val="nil"/>
              <w:right w:val="nil"/>
            </w:tcBorders>
            <w:vAlign w:val="center"/>
            <w:hideMark/>
          </w:tcPr>
          <w:p w14:paraId="22CBA307" w14:textId="77777777" w:rsidR="000D7F3D" w:rsidRPr="009A45E9" w:rsidRDefault="000D7F3D" w:rsidP="007D13A2">
            <w:pPr>
              <w:spacing w:line="276" w:lineRule="auto"/>
              <w:jc w:val="center"/>
              <w:rPr>
                <w:sz w:val="20"/>
                <w:szCs w:val="20"/>
                <w:lang w:val="id-ID"/>
              </w:rPr>
            </w:pPr>
            <w:r w:rsidRPr="009A45E9">
              <w:rPr>
                <w:sz w:val="20"/>
                <w:szCs w:val="20"/>
                <w:lang w:val="id-ID"/>
              </w:rPr>
              <w:t>4,97 ± 0,28</w:t>
            </w:r>
          </w:p>
        </w:tc>
        <w:tc>
          <w:tcPr>
            <w:tcW w:w="2551" w:type="dxa"/>
            <w:tcBorders>
              <w:top w:val="nil"/>
              <w:left w:val="nil"/>
              <w:bottom w:val="nil"/>
              <w:right w:val="nil"/>
            </w:tcBorders>
            <w:vAlign w:val="center"/>
            <w:hideMark/>
          </w:tcPr>
          <w:p w14:paraId="7939F6DE" w14:textId="77777777" w:rsidR="000D7F3D" w:rsidRPr="009A45E9" w:rsidRDefault="000D7F3D" w:rsidP="007D13A2">
            <w:pPr>
              <w:spacing w:line="276" w:lineRule="auto"/>
              <w:jc w:val="center"/>
              <w:rPr>
                <w:sz w:val="20"/>
                <w:szCs w:val="20"/>
                <w:lang w:val="id-ID"/>
              </w:rPr>
            </w:pPr>
            <w:r w:rsidRPr="009A45E9">
              <w:rPr>
                <w:sz w:val="20"/>
                <w:szCs w:val="20"/>
                <w:lang w:val="id-ID"/>
              </w:rPr>
              <w:t>2,41 ± 0,55</w:t>
            </w:r>
          </w:p>
        </w:tc>
        <w:tc>
          <w:tcPr>
            <w:tcW w:w="2096" w:type="dxa"/>
            <w:tcBorders>
              <w:top w:val="nil"/>
              <w:left w:val="nil"/>
              <w:bottom w:val="nil"/>
              <w:right w:val="nil"/>
            </w:tcBorders>
            <w:vAlign w:val="center"/>
            <w:hideMark/>
          </w:tcPr>
          <w:p w14:paraId="3FC08CBF" w14:textId="77777777" w:rsidR="000D7F3D" w:rsidRPr="009A45E9" w:rsidRDefault="000D7F3D" w:rsidP="007D13A2">
            <w:pPr>
              <w:spacing w:line="276" w:lineRule="auto"/>
              <w:jc w:val="center"/>
              <w:rPr>
                <w:sz w:val="20"/>
                <w:szCs w:val="20"/>
                <w:lang w:val="id-ID"/>
              </w:rPr>
            </w:pPr>
            <w:r w:rsidRPr="009A45E9">
              <w:rPr>
                <w:sz w:val="20"/>
                <w:szCs w:val="20"/>
                <w:lang w:val="id-ID"/>
              </w:rPr>
              <w:t>0,000</w:t>
            </w:r>
            <w:r w:rsidRPr="009A45E9">
              <w:rPr>
                <w:sz w:val="20"/>
                <w:szCs w:val="20"/>
                <w:vertAlign w:val="superscript"/>
                <w:lang w:val="id-ID"/>
              </w:rPr>
              <w:t>*</w:t>
            </w:r>
          </w:p>
        </w:tc>
      </w:tr>
      <w:tr w:rsidR="00053936" w:rsidRPr="001A6C7A" w14:paraId="684CA1F8" w14:textId="77777777" w:rsidTr="00053936">
        <w:trPr>
          <w:trHeight w:val="375"/>
        </w:trPr>
        <w:tc>
          <w:tcPr>
            <w:tcW w:w="2127" w:type="dxa"/>
            <w:tcBorders>
              <w:top w:val="nil"/>
              <w:left w:val="nil"/>
              <w:bottom w:val="single" w:sz="4" w:space="0" w:color="auto"/>
              <w:right w:val="nil"/>
            </w:tcBorders>
            <w:hideMark/>
          </w:tcPr>
          <w:p w14:paraId="4BD1564B" w14:textId="77777777" w:rsidR="000D7F3D" w:rsidRPr="00AD5228" w:rsidRDefault="000D7F3D" w:rsidP="007D13A2">
            <w:pPr>
              <w:spacing w:line="276" w:lineRule="auto"/>
              <w:jc w:val="left"/>
              <w:rPr>
                <w:b/>
                <w:bCs/>
                <w:color w:val="000000"/>
                <w:sz w:val="20"/>
                <w:szCs w:val="20"/>
                <w:lang w:val="id-ID"/>
              </w:rPr>
            </w:pPr>
            <w:r w:rsidRPr="009A45E9">
              <w:rPr>
                <w:bCs/>
                <w:color w:val="000000"/>
                <w:sz w:val="20"/>
                <w:szCs w:val="20"/>
                <w:lang w:val="id-ID"/>
              </w:rPr>
              <w:t xml:space="preserve">P </w:t>
            </w:r>
          </w:p>
        </w:tc>
        <w:tc>
          <w:tcPr>
            <w:tcW w:w="2835" w:type="dxa"/>
            <w:tcBorders>
              <w:top w:val="nil"/>
              <w:left w:val="nil"/>
              <w:bottom w:val="single" w:sz="4" w:space="0" w:color="auto"/>
              <w:right w:val="nil"/>
            </w:tcBorders>
            <w:vAlign w:val="center"/>
            <w:hideMark/>
          </w:tcPr>
          <w:p w14:paraId="38E84E0B" w14:textId="77777777" w:rsidR="000D7F3D" w:rsidRPr="009A45E9" w:rsidRDefault="000D7F3D" w:rsidP="007D13A2">
            <w:pPr>
              <w:spacing w:line="276" w:lineRule="auto"/>
              <w:jc w:val="center"/>
              <w:rPr>
                <w:sz w:val="20"/>
                <w:szCs w:val="20"/>
                <w:lang w:val="id-ID"/>
              </w:rPr>
            </w:pPr>
            <w:r w:rsidRPr="009A45E9">
              <w:rPr>
                <w:sz w:val="20"/>
                <w:szCs w:val="20"/>
                <w:lang w:val="id-ID"/>
              </w:rPr>
              <w:t>5,42 ± 0,81</w:t>
            </w:r>
          </w:p>
        </w:tc>
        <w:tc>
          <w:tcPr>
            <w:tcW w:w="2551" w:type="dxa"/>
            <w:tcBorders>
              <w:top w:val="nil"/>
              <w:left w:val="nil"/>
              <w:bottom w:val="single" w:sz="4" w:space="0" w:color="auto"/>
              <w:right w:val="nil"/>
            </w:tcBorders>
            <w:vAlign w:val="center"/>
            <w:hideMark/>
          </w:tcPr>
          <w:p w14:paraId="4306CAD2" w14:textId="77777777" w:rsidR="000D7F3D" w:rsidRPr="009A45E9" w:rsidRDefault="000D7F3D" w:rsidP="007D13A2">
            <w:pPr>
              <w:spacing w:line="276" w:lineRule="auto"/>
              <w:jc w:val="center"/>
              <w:rPr>
                <w:sz w:val="20"/>
                <w:szCs w:val="20"/>
                <w:lang w:val="id-ID"/>
              </w:rPr>
            </w:pPr>
            <w:r w:rsidRPr="009A45E9">
              <w:rPr>
                <w:sz w:val="20"/>
                <w:szCs w:val="20"/>
                <w:lang w:val="id-ID"/>
              </w:rPr>
              <w:t>1,63 ± 0,27</w:t>
            </w:r>
          </w:p>
        </w:tc>
        <w:tc>
          <w:tcPr>
            <w:tcW w:w="2096" w:type="dxa"/>
            <w:tcBorders>
              <w:top w:val="nil"/>
              <w:left w:val="nil"/>
              <w:bottom w:val="single" w:sz="4" w:space="0" w:color="auto"/>
              <w:right w:val="nil"/>
            </w:tcBorders>
            <w:vAlign w:val="center"/>
            <w:hideMark/>
          </w:tcPr>
          <w:p w14:paraId="769FB76C" w14:textId="77777777" w:rsidR="000D7F3D" w:rsidRPr="009A45E9" w:rsidRDefault="000D7F3D" w:rsidP="007D13A2">
            <w:pPr>
              <w:spacing w:line="276" w:lineRule="auto"/>
              <w:jc w:val="center"/>
              <w:rPr>
                <w:sz w:val="20"/>
                <w:szCs w:val="20"/>
                <w:vertAlign w:val="superscript"/>
                <w:lang w:val="id-ID"/>
              </w:rPr>
            </w:pPr>
            <w:r w:rsidRPr="009A45E9">
              <w:rPr>
                <w:sz w:val="20"/>
                <w:szCs w:val="20"/>
                <w:lang w:val="id-ID"/>
              </w:rPr>
              <w:t>0,000</w:t>
            </w:r>
            <w:r w:rsidRPr="009A45E9">
              <w:rPr>
                <w:sz w:val="20"/>
                <w:szCs w:val="20"/>
                <w:vertAlign w:val="superscript"/>
                <w:lang w:val="id-ID"/>
              </w:rPr>
              <w:t>*</w:t>
            </w:r>
          </w:p>
        </w:tc>
      </w:tr>
    </w:tbl>
    <w:p w14:paraId="5EEE8B1F" w14:textId="77777777" w:rsidR="000D7F3D" w:rsidRPr="004E5F0B" w:rsidRDefault="00F7253A" w:rsidP="007D13A2">
      <w:pPr>
        <w:spacing w:line="276" w:lineRule="auto"/>
        <w:ind w:left="426" w:hanging="426"/>
        <w:rPr>
          <w:sz w:val="20"/>
          <w:lang w:val="id-ID"/>
        </w:rPr>
      </w:pPr>
      <w:r w:rsidRPr="00EE660B">
        <w:rPr>
          <w:sz w:val="20"/>
          <w:lang w:val="id-ID"/>
        </w:rPr>
        <w:t>Keterangan: *signifikan p &lt; 0,05</w:t>
      </w:r>
    </w:p>
    <w:p w14:paraId="005C10E9" w14:textId="77777777" w:rsidR="00F7253A" w:rsidRPr="004E5F0B" w:rsidRDefault="00F7253A" w:rsidP="007D13A2">
      <w:pPr>
        <w:spacing w:line="276" w:lineRule="auto"/>
        <w:ind w:left="426" w:hanging="426"/>
        <w:rPr>
          <w:lang w:val="id-ID"/>
        </w:rPr>
      </w:pPr>
    </w:p>
    <w:p w14:paraId="67017CA8" w14:textId="77777777" w:rsidR="001E5DCA" w:rsidRPr="0042741B" w:rsidRDefault="003D0ED6" w:rsidP="00575380">
      <w:pPr>
        <w:spacing w:line="276" w:lineRule="auto"/>
        <w:ind w:firstLine="567"/>
        <w:rPr>
          <w:lang w:val="id-ID"/>
        </w:rPr>
      </w:pPr>
      <w:r w:rsidRPr="00C74B83">
        <w:rPr>
          <w:szCs w:val="24"/>
          <w:lang w:val="id-ID"/>
        </w:rPr>
        <w:t xml:space="preserve">Berdasarkan </w:t>
      </w:r>
      <w:r w:rsidR="00AE53D5">
        <w:rPr>
          <w:szCs w:val="24"/>
          <w:lang w:val="id-ID"/>
        </w:rPr>
        <w:t>Tabel 6</w:t>
      </w:r>
      <w:r w:rsidRPr="00C74B83">
        <w:rPr>
          <w:szCs w:val="24"/>
          <w:lang w:val="id-ID"/>
        </w:rPr>
        <w:t xml:space="preserve"> pada </w:t>
      </w:r>
      <w:r w:rsidRPr="00C74B83">
        <w:rPr>
          <w:lang w:val="id-ID"/>
        </w:rPr>
        <w:t xml:space="preserve">kelompok </w:t>
      </w:r>
      <w:r>
        <w:rPr>
          <w:lang w:val="id-ID"/>
        </w:rPr>
        <w:t xml:space="preserve">K(-), K(+), dan P </w:t>
      </w:r>
      <w:r w:rsidRPr="00C74B83">
        <w:rPr>
          <w:i/>
          <w:lang w:val="id-ID"/>
        </w:rPr>
        <w:t>posttest</w:t>
      </w:r>
      <w:r>
        <w:rPr>
          <w:lang w:val="id-ID"/>
        </w:rPr>
        <w:t xml:space="preserve"> </w:t>
      </w:r>
      <w:r w:rsidRPr="00C74B83">
        <w:rPr>
          <w:lang w:val="id-ID"/>
        </w:rPr>
        <w:t xml:space="preserve">memiliki kadar asam urat yang lebih rendah dibandingkan dengan kadar asam urat </w:t>
      </w:r>
      <w:r w:rsidRPr="00C74B83">
        <w:rPr>
          <w:i/>
          <w:lang w:val="id-ID"/>
        </w:rPr>
        <w:t>pretest</w:t>
      </w:r>
      <w:r w:rsidRPr="00C74B83">
        <w:rPr>
          <w:lang w:val="id-ID"/>
        </w:rPr>
        <w:t>. Hal tersebut dapat diartikan bahwa kadar asam urat pada ketiga kelompok tersebut mengalami penurunan ditandai dengan nilai p &lt; 0,05.</w:t>
      </w:r>
      <w:r w:rsidR="003C41D6">
        <w:rPr>
          <w:lang w:val="id-ID"/>
        </w:rPr>
        <w:t xml:space="preserve"> </w:t>
      </w:r>
      <w:r w:rsidRPr="00C74B83">
        <w:rPr>
          <w:lang w:val="id-ID"/>
        </w:rPr>
        <w:t xml:space="preserve">Pada kelompok </w:t>
      </w:r>
      <w:r>
        <w:rPr>
          <w:lang w:val="id-ID"/>
        </w:rPr>
        <w:t>K(-)</w:t>
      </w:r>
      <w:r w:rsidRPr="00C74B83">
        <w:rPr>
          <w:lang w:val="id-ID"/>
        </w:rPr>
        <w:t xml:space="preserve"> selama perlakuan hanya diberi pakan standar </w:t>
      </w:r>
      <w:r w:rsidRPr="00C74B83">
        <w:rPr>
          <w:i/>
          <w:lang w:val="id-ID"/>
        </w:rPr>
        <w:t xml:space="preserve">Rat Bio </w:t>
      </w:r>
      <w:r w:rsidRPr="00C74B83">
        <w:rPr>
          <w:lang w:val="id-ID"/>
        </w:rPr>
        <w:t xml:space="preserve">sebanyak 20 gram dan air minum </w:t>
      </w:r>
      <w:r w:rsidRPr="00C74B83">
        <w:rPr>
          <w:i/>
          <w:lang w:val="id-ID"/>
        </w:rPr>
        <w:t xml:space="preserve">ad libidum </w:t>
      </w:r>
      <w:r w:rsidRPr="00C74B83">
        <w:rPr>
          <w:lang w:val="id-ID"/>
        </w:rPr>
        <w:t>sehingga diharapkan kadar asam urat sesudah perlakuan (</w:t>
      </w:r>
      <w:r w:rsidRPr="00C74B83">
        <w:rPr>
          <w:i/>
          <w:lang w:val="id-ID"/>
        </w:rPr>
        <w:t>posttest</w:t>
      </w:r>
      <w:r w:rsidRPr="00C74B83">
        <w:rPr>
          <w:lang w:val="id-ID"/>
        </w:rPr>
        <w:t xml:space="preserve">) memiliki nilai yang tetap karena menjadi pembanding dari kelompok yang lain. Sedangkan pada kelompok </w:t>
      </w:r>
      <w:r>
        <w:rPr>
          <w:lang w:val="id-ID"/>
        </w:rPr>
        <w:t>K(+)</w:t>
      </w:r>
      <w:r w:rsidRPr="00C74B83">
        <w:rPr>
          <w:lang w:val="id-ID"/>
        </w:rPr>
        <w:t xml:space="preserve"> selama perlakuan diberi pakan standar </w:t>
      </w:r>
      <w:r w:rsidRPr="00C74B83">
        <w:rPr>
          <w:i/>
          <w:lang w:val="id-ID"/>
        </w:rPr>
        <w:t xml:space="preserve">Rat Bio </w:t>
      </w:r>
      <w:r w:rsidRPr="00C74B83">
        <w:rPr>
          <w:lang w:val="id-ID"/>
        </w:rPr>
        <w:t xml:space="preserve">sebanyak 20 gram dan air minum </w:t>
      </w:r>
      <w:r w:rsidRPr="00C74B83">
        <w:rPr>
          <w:i/>
          <w:lang w:val="id-ID"/>
        </w:rPr>
        <w:t xml:space="preserve">ad libidum </w:t>
      </w:r>
      <w:r w:rsidRPr="00C74B83">
        <w:rPr>
          <w:lang w:val="id-ID"/>
        </w:rPr>
        <w:t>serta diinduksi kafein dengan dosis 27 mg/200 g</w:t>
      </w:r>
      <w:r w:rsidR="003045E4" w:rsidRPr="003045E4">
        <w:rPr>
          <w:lang w:val="id-ID"/>
        </w:rPr>
        <w:t xml:space="preserve"> </w:t>
      </w:r>
      <w:r w:rsidRPr="00C74B83">
        <w:rPr>
          <w:lang w:val="id-ID"/>
        </w:rPr>
        <w:t xml:space="preserve">BB. Pada kelompok ini diharapkan tidak terjadi penurunan kadar asam urat atau kadar asam urat diatas normal karena tidak diberikan intervensi. Namun berdasarkan uji statistik didapatkan hasil bahwa kadar asam urat </w:t>
      </w:r>
      <w:r w:rsidRPr="00C74B83">
        <w:rPr>
          <w:i/>
          <w:lang w:val="id-ID"/>
        </w:rPr>
        <w:t>pretest</w:t>
      </w:r>
      <w:r w:rsidRPr="00C74B83">
        <w:rPr>
          <w:lang w:val="id-ID"/>
        </w:rPr>
        <w:t xml:space="preserve"> dan</w:t>
      </w:r>
      <w:r w:rsidRPr="00C74B83">
        <w:rPr>
          <w:i/>
          <w:lang w:val="id-ID"/>
        </w:rPr>
        <w:t xml:space="preserve"> posttest</w:t>
      </w:r>
      <w:r w:rsidRPr="00C74B83">
        <w:rPr>
          <w:lang w:val="id-ID"/>
        </w:rPr>
        <w:t xml:space="preserve"> pada kedua kelompok ini memiliki perbedaan yang bermakna atau dapat dikatakan mengalami penurunan.</w:t>
      </w:r>
      <w:r w:rsidR="00575380" w:rsidRPr="0042741B">
        <w:rPr>
          <w:lang w:val="id-ID"/>
        </w:rPr>
        <w:t xml:space="preserve"> </w:t>
      </w:r>
      <w:r w:rsidR="00526BCE" w:rsidRPr="0042741B">
        <w:rPr>
          <w:lang w:val="id-ID"/>
        </w:rPr>
        <w:t xml:space="preserve"> </w:t>
      </w:r>
    </w:p>
    <w:p w14:paraId="3F1813D9" w14:textId="69EE1D0D" w:rsidR="003D0ED6" w:rsidRPr="001D6153" w:rsidRDefault="00E208BA" w:rsidP="004541F9">
      <w:pPr>
        <w:spacing w:line="276" w:lineRule="auto"/>
        <w:ind w:firstLine="567"/>
        <w:rPr>
          <w:lang w:val="nl-NL"/>
        </w:rPr>
      </w:pPr>
      <w:r w:rsidRPr="0042741B">
        <w:rPr>
          <w:lang w:val="id-ID"/>
        </w:rPr>
        <w:t xml:space="preserve">Penurunan </w:t>
      </w:r>
      <w:r w:rsidR="00526BCE" w:rsidRPr="00C74B83">
        <w:rPr>
          <w:lang w:val="id-ID"/>
        </w:rPr>
        <w:t>kadar asam urat pada k</w:t>
      </w:r>
      <w:r w:rsidR="00526BCE">
        <w:rPr>
          <w:lang w:val="id-ID"/>
        </w:rPr>
        <w:t xml:space="preserve">elompok kontrol negatif dan kontrol positif </w:t>
      </w:r>
      <w:r w:rsidR="00526BCE" w:rsidRPr="0042741B">
        <w:rPr>
          <w:lang w:val="id-ID"/>
        </w:rPr>
        <w:t xml:space="preserve"> </w:t>
      </w:r>
      <w:r w:rsidRPr="0042741B">
        <w:rPr>
          <w:lang w:val="id-ID"/>
        </w:rPr>
        <w:t>dapat disebabkan oleh adanya enzim urikase dalam tubuh tikus yang mampu mengubah asam urat menjadi alantoin yang mudah diekskresikan</w:t>
      </w:r>
      <w:r w:rsidR="00512E12">
        <w:rPr>
          <w:lang w:val="id-ID"/>
        </w:rPr>
        <w:t>.</w:t>
      </w:r>
      <w:r w:rsidR="00512E12">
        <w:rPr>
          <w:lang w:val="id-ID"/>
        </w:rPr>
        <w:fldChar w:fldCharType="begin" w:fldLock="1"/>
      </w:r>
      <w:r w:rsidR="00650E80">
        <w:rPr>
          <w:lang w:val="id-ID"/>
        </w:rPr>
        <w:instrText>ADDIN CSL_CITATION {"citationItems":[{"id":"ITEM-1","itemData":{"DOI":"10.1016/S0065-7743(08)61545-6","ISBN":"9780071764025","ISSN":"00657743","PMID":"31644119","abstract":"Hypertension results from a repeated sequence of small rises in blood pressure, because of sympathetic hyperactivity, that produce changes in the kidney. The roles of cadmium, lead, and catecholamines in the development of hypertension and the cardiovascular and renal actions of prostaglandins are discussed in this chapter. The water diuresis produced in conscious dogs, by clonidine, appears to be consequent upon an increase in the renal PGE synthesis that has an anti-antidiuretic hormone (ADH) effect. Clonidine in normotensive volunteers has given useful data on the sedation and hyposalivation side effects. Sedation and dry mouth appear with the same frequency as with clonidine. Guanabenz produced modest blood pressure reduction with sedation as the major side-effect. Tetrahydrocannabinol is considered as a lead for novel centrally-acting hypotensives. Cardiovascular activity is found in a wide ranging series of the variations of the cannabinoid structure. In two hypertensive rat models, whole braintyrosine hydroxylase levels correlate well with systolic blood pressure. The regulation of renin release, its biochemistry, clinical significance, and the role of the reninangiotensin system in extra-renal tissue are also reviewed. The effects of antihypertensive agents on the renin-angiotensin system are also surveyed. Dopamine and apomorphine induce renin secretion. The effect of apomorphine is blocked by pimozide. In man, rats, and rabbits, plasma renin activity is suppressed by indomethacin concomitantly with a reduction in prostaglandin synthesis. © 1977 Academic Press, Inc.","author":[{"dropping-particle":"","family":"Katzung","given":"Bertram G.","non-dropping-particle":"","parse-names":false,"suffix":""},{"dropping-particle":"","family":"Masters","given":"Susan B.","non-dropping-particle":"","parse-names":false,"suffix":""},{"dropping-particle":"","family":"Trevor","given":"Antony J.","non-dropping-particle":"","parse-names":false,"suffix":""}],"container-title":"Annual Reports in Medicinal Chemistry","id":"ITEM-1","issue":"C","issued":{"date-parts":[["1977"]]},"number-of-pages":"60-69","title":"Antihypertensive Agents","type":"book","volume":"12"},"uris":["http://www.mendeley.com/documents/?uuid=3cf67680-a95b-4a99-9d6b-d007a6a508c9"]}],"mendeley":{"formattedCitation":"&lt;sup&gt;24&lt;/sup&gt;","plainTextFormattedCitation":"24","previouslyFormattedCitation":"&lt;sup&gt;24&lt;/sup&gt;"},"properties":{"noteIndex":0},"schema":"https://github.com/citation-style-language/schema/raw/master/csl-citation.json"}</w:instrText>
      </w:r>
      <w:r w:rsidR="00512E12">
        <w:rPr>
          <w:lang w:val="id-ID"/>
        </w:rPr>
        <w:fldChar w:fldCharType="separate"/>
      </w:r>
      <w:r w:rsidR="004E5F0B" w:rsidRPr="004E5F0B">
        <w:rPr>
          <w:noProof/>
          <w:vertAlign w:val="superscript"/>
          <w:lang w:val="id-ID"/>
        </w:rPr>
        <w:t>24</w:t>
      </w:r>
      <w:r w:rsidR="00512E12">
        <w:rPr>
          <w:lang w:val="id-ID"/>
        </w:rPr>
        <w:fldChar w:fldCharType="end"/>
      </w:r>
      <w:r w:rsidR="004541F9" w:rsidRPr="0042741B">
        <w:rPr>
          <w:lang w:val="id-ID"/>
        </w:rPr>
        <w:t xml:space="preserve"> </w:t>
      </w:r>
      <w:r w:rsidR="00526BCE" w:rsidRPr="00C74B83">
        <w:rPr>
          <w:lang w:val="id-ID"/>
        </w:rPr>
        <w:t>Penurunan kadar asam urat pada k</w:t>
      </w:r>
      <w:r w:rsidR="00526BCE">
        <w:rPr>
          <w:lang w:val="id-ID"/>
        </w:rPr>
        <w:t>e</w:t>
      </w:r>
      <w:r w:rsidR="00526BCE" w:rsidRPr="0042741B">
        <w:rPr>
          <w:lang w:val="id-ID"/>
        </w:rPr>
        <w:t>dua kelompok</w:t>
      </w:r>
      <w:r w:rsidR="00E82806" w:rsidRPr="0042741B">
        <w:rPr>
          <w:lang w:val="id-ID"/>
        </w:rPr>
        <w:t xml:space="preserve"> tersebut</w:t>
      </w:r>
      <w:r w:rsidR="00526BCE" w:rsidRPr="0042741B">
        <w:rPr>
          <w:lang w:val="id-ID"/>
        </w:rPr>
        <w:t xml:space="preserve"> diduga </w:t>
      </w:r>
      <w:r w:rsidR="00E82806" w:rsidRPr="0042741B">
        <w:rPr>
          <w:lang w:val="id-ID"/>
        </w:rPr>
        <w:t xml:space="preserve">dapat </w:t>
      </w:r>
      <w:r w:rsidR="00526BCE" w:rsidRPr="0042741B">
        <w:rPr>
          <w:lang w:val="id-ID"/>
        </w:rPr>
        <w:t>disebabkan oleh beberapa faktor</w:t>
      </w:r>
      <w:r w:rsidR="00526BCE" w:rsidRPr="00C74B83">
        <w:rPr>
          <w:lang w:val="id-ID"/>
        </w:rPr>
        <w:t xml:space="preserve">. </w:t>
      </w:r>
      <w:r w:rsidR="00300C5D" w:rsidRPr="0042741B">
        <w:rPr>
          <w:lang w:val="id-ID"/>
        </w:rPr>
        <w:t>Faktor-</w:t>
      </w:r>
      <w:r w:rsidR="00526BCE" w:rsidRPr="0042741B">
        <w:rPr>
          <w:lang w:val="id-ID"/>
        </w:rPr>
        <w:t>faktor seperti perbedaan objek yang diukur, perbedaan situasi saat pengukuran, serta perbedaan alat dan instrumentasi diduga mempengaruhi penurunan kadar asam urat</w:t>
      </w:r>
      <w:r w:rsidR="00E82806" w:rsidRPr="0042741B">
        <w:rPr>
          <w:lang w:val="id-ID"/>
        </w:rPr>
        <w:t>.</w:t>
      </w:r>
      <w:r w:rsidR="001D6153">
        <w:rPr>
          <w:lang w:val="id-ID"/>
        </w:rPr>
        <w:fldChar w:fldCharType="begin" w:fldLock="1"/>
      </w:r>
      <w:r w:rsidR="00650E80">
        <w:rPr>
          <w:lang w:val="id-ID"/>
        </w:rPr>
        <w:instrText>ADDIN CSL_CITATION {"citationItems":[{"id":"ITEM-1","itemData":{"ISSN":"2348-5221","abstract":"Several studies have been conducted on the analysis of physico-chemical and biological parameters in large number of aquatic ecosystems in recent past. The more scientific method of assessment of water quality is to develop correlation between different physico-chemical parameters, which could be helpful in the interpretation of the observed data and estimation of the pollution load and show their relationship with a single parameter to other parameters on a scientific basis. Temperature is one of the important physical parameter which is directly affected to all physico-chemical properties. It is also one of the crucial limnological parameters that play a significant role in regulating the water quality as well as the productivity of the ecosystem. Present study try to focus on the develop correlation between temperature and some other physico-chemical parameters of the aquatic eco-system of Bundelkhand region as a preliminary investigation. During the study it was found that temperature is significantly positive (+) with pH, EC, Alkalinity, Nitrate , Turbidity, Total Solid, Total Dissolved Solid , Total Suspended Solid, Total Hardness, Bi o-chemical Oxygen Demand and Chemical Oxygen Demand but showed negative (-) with Dissolve Oxygen , and Fluoride content.","author":[{"dropping-particle":"","family":"Tahir","given":"Iqmal","non-dropping-particle":"","parse-names":false,"suffix":""}],"container-title":"Universitas Gajah Mada, Yogyakarta","id":"ITEM-1","issue":"3","issued":{"date-parts":[["2015"]]},"page":"1-8","title":"Arti penting kalibrasi pada proses pengukuran analitik : aplikasi pada penggunaan pHmeter dan spektrofotometer UV-Vis","type":"article-journal","volume":"2"},"uris":["http://www.mendeley.com/documents/?uuid=28b7a367-9462-4a0e-a8f5-fefd97a45e5a"]}],"mendeley":{"formattedCitation":"&lt;sup&gt;25&lt;/sup&gt;","plainTextFormattedCitation":"25","previouslyFormattedCitation":"&lt;sup&gt;25&lt;/sup&gt;"},"properties":{"noteIndex":0},"schema":"https://github.com/citation-style-language/schema/raw/master/csl-citation.json"}</w:instrText>
      </w:r>
      <w:r w:rsidR="001D6153">
        <w:rPr>
          <w:lang w:val="id-ID"/>
        </w:rPr>
        <w:fldChar w:fldCharType="separate"/>
      </w:r>
      <w:r w:rsidR="004E5F0B" w:rsidRPr="004E5F0B">
        <w:rPr>
          <w:noProof/>
          <w:vertAlign w:val="superscript"/>
          <w:lang w:val="id-ID"/>
        </w:rPr>
        <w:t>25</w:t>
      </w:r>
      <w:r w:rsidR="001D6153">
        <w:rPr>
          <w:lang w:val="id-ID"/>
        </w:rPr>
        <w:fldChar w:fldCharType="end"/>
      </w:r>
      <w:r w:rsidR="00E82806" w:rsidRPr="0042741B">
        <w:rPr>
          <w:lang w:val="id-ID"/>
        </w:rPr>
        <w:t xml:space="preserve"> </w:t>
      </w:r>
      <w:r w:rsidR="00E82806" w:rsidRPr="0042741B">
        <w:rPr>
          <w:lang w:val="nl-NL"/>
        </w:rPr>
        <w:t>Sedangkan faktor lain seperti usia, jenis kelamin, dan hormone diduga tidak berpengaruh terhadap perbedaan kadar asam urat antar kelompok</w:t>
      </w:r>
      <w:r w:rsidR="00F47470" w:rsidRPr="0042741B">
        <w:rPr>
          <w:lang w:val="nl-NL"/>
        </w:rPr>
        <w:t xml:space="preserve">. </w:t>
      </w:r>
      <w:proofErr w:type="spellStart"/>
      <w:r w:rsidR="00E82806">
        <w:rPr>
          <w:lang w:val="en-GB"/>
        </w:rPr>
        <w:t>Faktor</w:t>
      </w:r>
      <w:proofErr w:type="spellEnd"/>
      <w:r w:rsidR="00E82806">
        <w:rPr>
          <w:lang w:val="en-GB"/>
        </w:rPr>
        <w:t xml:space="preserve"> </w:t>
      </w:r>
      <w:proofErr w:type="spellStart"/>
      <w:r w:rsidR="00E82806">
        <w:rPr>
          <w:lang w:val="en-GB"/>
        </w:rPr>
        <w:t>usia</w:t>
      </w:r>
      <w:proofErr w:type="spellEnd"/>
      <w:r w:rsidR="00E82806">
        <w:rPr>
          <w:lang w:val="en-GB"/>
        </w:rPr>
        <w:t xml:space="preserve"> </w:t>
      </w:r>
      <w:proofErr w:type="spellStart"/>
      <w:r w:rsidR="00E82806">
        <w:rPr>
          <w:lang w:val="en-GB"/>
        </w:rPr>
        <w:t>diduga</w:t>
      </w:r>
      <w:proofErr w:type="spellEnd"/>
      <w:r w:rsidR="00E82806">
        <w:rPr>
          <w:lang w:val="en-GB"/>
        </w:rPr>
        <w:t xml:space="preserve"> </w:t>
      </w:r>
      <w:proofErr w:type="spellStart"/>
      <w:r w:rsidR="00E82806">
        <w:rPr>
          <w:lang w:val="en-GB"/>
        </w:rPr>
        <w:t>tidak</w:t>
      </w:r>
      <w:proofErr w:type="spellEnd"/>
      <w:r w:rsidR="00E82806">
        <w:rPr>
          <w:lang w:val="en-GB"/>
        </w:rPr>
        <w:t xml:space="preserve"> </w:t>
      </w:r>
      <w:proofErr w:type="spellStart"/>
      <w:r w:rsidR="00E82806">
        <w:rPr>
          <w:lang w:val="en-GB"/>
        </w:rPr>
        <w:t>berpengaruh</w:t>
      </w:r>
      <w:proofErr w:type="spellEnd"/>
      <w:r w:rsidR="00E82806">
        <w:rPr>
          <w:lang w:val="en-GB"/>
        </w:rPr>
        <w:t xml:space="preserve"> </w:t>
      </w:r>
      <w:proofErr w:type="spellStart"/>
      <w:r w:rsidR="00E82806">
        <w:rPr>
          <w:lang w:val="en-GB"/>
        </w:rPr>
        <w:t>karena</w:t>
      </w:r>
      <w:proofErr w:type="spellEnd"/>
      <w:r w:rsidR="00E82806">
        <w:rPr>
          <w:lang w:val="en-GB"/>
        </w:rPr>
        <w:t xml:space="preserve"> r</w:t>
      </w:r>
      <w:r w:rsidR="00467CE0">
        <w:rPr>
          <w:lang w:val="en-GB"/>
        </w:rPr>
        <w:t xml:space="preserve">ata-rata </w:t>
      </w:r>
      <w:proofErr w:type="spellStart"/>
      <w:r w:rsidR="00467CE0">
        <w:rPr>
          <w:lang w:val="en-GB"/>
        </w:rPr>
        <w:t>usia</w:t>
      </w:r>
      <w:proofErr w:type="spellEnd"/>
      <w:r w:rsidR="00467CE0">
        <w:rPr>
          <w:lang w:val="en-GB"/>
        </w:rPr>
        <w:t xml:space="preserve"> </w:t>
      </w:r>
      <w:proofErr w:type="spellStart"/>
      <w:r w:rsidR="00467CE0">
        <w:rPr>
          <w:lang w:val="en-GB"/>
        </w:rPr>
        <w:t>subjek</w:t>
      </w:r>
      <w:proofErr w:type="spellEnd"/>
      <w:r w:rsidR="00467CE0">
        <w:rPr>
          <w:lang w:val="en-GB"/>
        </w:rPr>
        <w:t xml:space="preserve"> </w:t>
      </w:r>
      <w:proofErr w:type="spellStart"/>
      <w:r w:rsidR="00467CE0">
        <w:rPr>
          <w:lang w:val="en-GB"/>
        </w:rPr>
        <w:t>sama</w:t>
      </w:r>
      <w:proofErr w:type="spellEnd"/>
      <w:r w:rsidR="00467CE0">
        <w:rPr>
          <w:lang w:val="en-GB"/>
        </w:rPr>
        <w:t xml:space="preserve"> </w:t>
      </w:r>
      <w:proofErr w:type="spellStart"/>
      <w:r w:rsidR="00467CE0">
        <w:rPr>
          <w:lang w:val="en-GB"/>
        </w:rPr>
        <w:t>yaitu</w:t>
      </w:r>
      <w:proofErr w:type="spellEnd"/>
      <w:r w:rsidR="00467CE0">
        <w:rPr>
          <w:lang w:val="en-GB"/>
        </w:rPr>
        <w:t xml:space="preserve"> 2-3 </w:t>
      </w:r>
      <w:proofErr w:type="spellStart"/>
      <w:r w:rsidR="00467CE0">
        <w:rPr>
          <w:lang w:val="en-GB"/>
        </w:rPr>
        <w:t>bulan</w:t>
      </w:r>
      <w:proofErr w:type="spellEnd"/>
      <w:r w:rsidR="00467CE0">
        <w:rPr>
          <w:lang w:val="en-GB"/>
        </w:rPr>
        <w:t xml:space="preserve">. </w:t>
      </w:r>
      <w:r w:rsidR="00467CE0" w:rsidRPr="001D6153">
        <w:rPr>
          <w:lang w:val="nl-NL"/>
        </w:rPr>
        <w:t>Sedangkan faktor jenis kelamin dan hormone</w:t>
      </w:r>
      <w:r w:rsidR="00F47470" w:rsidRPr="001D6153">
        <w:rPr>
          <w:lang w:val="nl-NL"/>
        </w:rPr>
        <w:t xml:space="preserve"> juga</w:t>
      </w:r>
      <w:r w:rsidR="00467CE0" w:rsidRPr="001D6153">
        <w:rPr>
          <w:lang w:val="nl-NL"/>
        </w:rPr>
        <w:t xml:space="preserve"> diduga tidak </w:t>
      </w:r>
      <w:r w:rsidR="00E82806" w:rsidRPr="001D6153">
        <w:rPr>
          <w:lang w:val="nl-NL"/>
        </w:rPr>
        <w:t xml:space="preserve"> </w:t>
      </w:r>
      <w:r w:rsidR="00467CE0" w:rsidRPr="001D6153">
        <w:rPr>
          <w:lang w:val="nl-NL"/>
        </w:rPr>
        <w:t xml:space="preserve">berpengaruh karena semua tikus yang digunakan berjenis kelamin </w:t>
      </w:r>
      <w:r w:rsidR="001D6153" w:rsidRPr="001D6153">
        <w:rPr>
          <w:lang w:val="nl-NL"/>
        </w:rPr>
        <w:t>jantan.</w:t>
      </w:r>
      <w:r w:rsidR="00AE1B6B" w:rsidRPr="001D6153">
        <w:rPr>
          <w:lang w:val="nl-NL"/>
        </w:rPr>
        <w:t xml:space="preserve"> </w:t>
      </w:r>
      <w:r w:rsidR="00AE1B6B">
        <w:rPr>
          <w:lang w:val="nl-NL"/>
        </w:rPr>
        <w:fldChar w:fldCharType="begin" w:fldLock="1"/>
      </w:r>
      <w:r w:rsidR="00650E80">
        <w:rPr>
          <w:lang w:val="nl-NL"/>
        </w:rPr>
        <w:instrText>ADDIN CSL_CITATION {"citationItems":[{"id":"ITEM-1","itemData":{"abstract":"Background : Uric acid is the end product of purine metabolism. If the serum uric acid has an excessive level, it can induce many diseases, such as gout. Moringa oleifera Lamk, known as \" daun kelor \" in Indonesia, has been used as a herb medicine for the treatment of gout, arthritis and other diseases because its phytochemical contains. The present of study was carried out to investigate the effect of moringa leaves infusion on serum uric acid in rats. Methods : Twelve Wistar rats with body weight of 150 – 180 g were grouped equally into two groups randomly. They were orally administered goat brain 2 g/rat/day for 8 days. After being given goat brain, control and treatment group were given aquades and moringa leaves infusion 3,6 ml for 14 days, respectively. Moringa leaves powder dose 3,75 g/kg bw was steeped with hot water (60 0","author":[{"dropping-particle":"","family":"Candra","given":"Aryu K","non-dropping-particle":"","parse-names":false,"suffix":""},{"dropping-particle":"","family":"Rahmawati","given":"","non-dropping-particle":"","parse-names":false,"suffix":""}],"container-title":"Journal of Nutrition College","id":"ITEM-1","issued":{"date-parts":[["2015"]]},"page":"593-598","title":"Pengaruh Pemberian Seduhan Daun Kelor (Moringa Oleifera Lamk) Terhadap Kadar Asam Urat Tikus Putih (Rattus norvegicus)","type":"article-journal","volume":"4(2)"},"uris":["http://www.mendeley.com/documents/?uuid=9dc56e07-17d5-46a7-89c1-d79d0637c170"]}],"mendeley":{"formattedCitation":"&lt;sup&gt;22&lt;/sup&gt;","plainTextFormattedCitation":"22","previouslyFormattedCitation":"&lt;sup&gt;22&lt;/sup&gt;"},"properties":{"noteIndex":0},"schema":"https://github.com/citation-style-language/schema/raw/master/csl-citation.json"}</w:instrText>
      </w:r>
      <w:r w:rsidR="00AE1B6B">
        <w:rPr>
          <w:lang w:val="nl-NL"/>
        </w:rPr>
        <w:fldChar w:fldCharType="separate"/>
      </w:r>
      <w:r w:rsidR="004E5F0B" w:rsidRPr="004E5F0B">
        <w:rPr>
          <w:noProof/>
          <w:vertAlign w:val="superscript"/>
          <w:lang w:val="nl-NL"/>
        </w:rPr>
        <w:t>22</w:t>
      </w:r>
      <w:r w:rsidR="00AE1B6B">
        <w:rPr>
          <w:lang w:val="nl-NL"/>
        </w:rPr>
        <w:fldChar w:fldCharType="end"/>
      </w:r>
    </w:p>
    <w:p w14:paraId="19BE3364" w14:textId="77777777" w:rsidR="003D0ED6" w:rsidRPr="00384488" w:rsidRDefault="00F47470" w:rsidP="00384488">
      <w:pPr>
        <w:spacing w:line="276" w:lineRule="auto"/>
        <w:ind w:firstLine="567"/>
        <w:rPr>
          <w:bCs/>
          <w:szCs w:val="24"/>
          <w:lang w:val="nl-NL"/>
        </w:rPr>
      </w:pPr>
      <w:r w:rsidRPr="004E5F0B">
        <w:rPr>
          <w:lang w:val="nl-NL"/>
        </w:rPr>
        <w:t>Penelitian ini mengkaji potensi minuman sinom terhadap kadar asam urat. Tabel 6 menunjukkan bahwa</w:t>
      </w:r>
      <w:r w:rsidR="003D0ED6" w:rsidRPr="004E5F0B">
        <w:rPr>
          <w:lang w:val="nl-NL"/>
        </w:rPr>
        <w:t xml:space="preserve"> kelompok </w:t>
      </w:r>
      <w:r w:rsidR="003D0ED6">
        <w:rPr>
          <w:lang w:val="id-ID"/>
        </w:rPr>
        <w:t>P</w:t>
      </w:r>
      <w:r w:rsidR="003D0ED6" w:rsidRPr="004E5F0B">
        <w:rPr>
          <w:lang w:val="nl-NL"/>
        </w:rPr>
        <w:t xml:space="preserve"> memiliki nilai p = 0,000 (p &lt; 0,05) </w:t>
      </w:r>
      <w:r w:rsidR="003D0ED6" w:rsidRPr="004E5F0B">
        <w:rPr>
          <w:color w:val="000000" w:themeColor="text1"/>
          <w:szCs w:val="24"/>
          <w:lang w:val="nl-NL"/>
        </w:rPr>
        <w:t xml:space="preserve">yang berarti terdapat perbedaan bermakna kadar asam urat </w:t>
      </w:r>
      <w:r w:rsidR="003D0ED6" w:rsidRPr="004E5F0B">
        <w:rPr>
          <w:bCs/>
          <w:i/>
          <w:szCs w:val="24"/>
          <w:lang w:val="nl-NL"/>
        </w:rPr>
        <w:t xml:space="preserve">pretest </w:t>
      </w:r>
      <w:r w:rsidR="003D0ED6" w:rsidRPr="004E5F0B">
        <w:rPr>
          <w:bCs/>
          <w:szCs w:val="24"/>
          <w:lang w:val="nl-NL"/>
        </w:rPr>
        <w:t xml:space="preserve">dan </w:t>
      </w:r>
      <w:r w:rsidR="003D0ED6" w:rsidRPr="004E5F0B">
        <w:rPr>
          <w:bCs/>
          <w:i/>
          <w:szCs w:val="24"/>
          <w:lang w:val="nl-NL"/>
        </w:rPr>
        <w:t xml:space="preserve">posttest. </w:t>
      </w:r>
      <w:r w:rsidR="003D0ED6" w:rsidRPr="00C74B83">
        <w:rPr>
          <w:bCs/>
          <w:szCs w:val="24"/>
          <w:lang w:val="nl-NL"/>
        </w:rPr>
        <w:t>Penurunan kadar asam urat pa</w:t>
      </w:r>
      <w:r w:rsidR="00F644FC">
        <w:rPr>
          <w:bCs/>
          <w:szCs w:val="24"/>
          <w:lang w:val="nl-NL"/>
        </w:rPr>
        <w:t xml:space="preserve">da kelompok perlakuan terjadi karena diberi minuman sinom. </w:t>
      </w:r>
      <w:r w:rsidR="00F644FC" w:rsidRPr="00AE1B6B">
        <w:rPr>
          <w:bCs/>
          <w:szCs w:val="24"/>
          <w:lang w:val="nl-NL"/>
        </w:rPr>
        <w:t>Minuman sinom merupakan minuman tradisional Indonesia yang berperan sebagai antioksidan untuk menangkap radikal bebas dalam tubuh.</w:t>
      </w:r>
      <w:r w:rsidR="00AE1B6B">
        <w:rPr>
          <w:bCs/>
          <w:szCs w:val="24"/>
        </w:rPr>
        <w:fldChar w:fldCharType="begin" w:fldLock="1"/>
      </w:r>
      <w:r w:rsidR="00650E80">
        <w:rPr>
          <w:bCs/>
          <w:szCs w:val="24"/>
          <w:lang w:val="nl-NL"/>
        </w:rPr>
        <w:instrText>ADDIN CSL_CITATION {"citationItems":[{"id":"ITEM-1","itemData":{"URL":"https://farmalkes.kemkes.go.id/2015/01/bude-jamu/","author":[{"dropping-particle":"","family":"Informasi Kefarmasian dan Alat Kesehatan (Infarkes)","given":"","non-dropping-particle":"","parse-names":false,"suffix":""}],"container-title":"Badan Penelitian dan Pengembangan Kesehatan Kemenkes RI","id":"ITEM-1","issued":{"date-parts":[["2015"]]},"title":"Bugar dengan Jamu","type":"webpage"},"uris":["http://www.mendeley.com/documents/?uuid=39b5bfbc-0b9f-4f4f-9004-2e5e88ce1bfd"]}],"mendeley":{"formattedCitation":"&lt;sup&gt;7&lt;/sup&gt;","plainTextFormattedCitation":"7","previouslyFormattedCitation":"&lt;sup&gt;7&lt;/sup&gt;"},"properties":{"noteIndex":0},"schema":"https://github.com/citation-style-language/schema/raw/master/csl-citation.json"}</w:instrText>
      </w:r>
      <w:r w:rsidR="00AE1B6B">
        <w:rPr>
          <w:bCs/>
          <w:szCs w:val="24"/>
        </w:rPr>
        <w:fldChar w:fldCharType="separate"/>
      </w:r>
      <w:r w:rsidR="004E5F0B" w:rsidRPr="004E5F0B">
        <w:rPr>
          <w:bCs/>
          <w:noProof/>
          <w:szCs w:val="24"/>
          <w:vertAlign w:val="superscript"/>
          <w:lang w:val="nl-NL"/>
        </w:rPr>
        <w:t>7</w:t>
      </w:r>
      <w:r w:rsidR="00AE1B6B">
        <w:rPr>
          <w:bCs/>
          <w:szCs w:val="24"/>
        </w:rPr>
        <w:fldChar w:fldCharType="end"/>
      </w:r>
      <w:r w:rsidR="00F644FC" w:rsidRPr="00AE1B6B">
        <w:rPr>
          <w:bCs/>
          <w:szCs w:val="24"/>
          <w:lang w:val="nl-NL"/>
        </w:rPr>
        <w:t xml:space="preserve"> </w:t>
      </w:r>
      <w:r w:rsidR="00384488" w:rsidRPr="00AE1B6B">
        <w:rPr>
          <w:bCs/>
          <w:szCs w:val="24"/>
          <w:lang w:val="nl-NL"/>
        </w:rPr>
        <w:t>Vitamin C merupakan salah satu jenis vitamin yang terdapat dalam minuman sinom</w:t>
      </w:r>
      <w:r w:rsidR="00962F1D" w:rsidRPr="00AE1B6B">
        <w:rPr>
          <w:bCs/>
          <w:szCs w:val="24"/>
          <w:lang w:val="nl-NL"/>
        </w:rPr>
        <w:t xml:space="preserve">. </w:t>
      </w:r>
      <w:r w:rsidR="00962F1D" w:rsidRPr="004E5F0B">
        <w:rPr>
          <w:bCs/>
          <w:szCs w:val="24"/>
          <w:lang w:val="nl-NL"/>
        </w:rPr>
        <w:t>V</w:t>
      </w:r>
      <w:r w:rsidR="003D0ED6" w:rsidRPr="004E5F0B">
        <w:rPr>
          <w:bCs/>
          <w:szCs w:val="24"/>
          <w:lang w:val="nl-NL"/>
        </w:rPr>
        <w:t>itamin C memiliki sifat urikosurik yang efektif untuk membantu ekskresi asam urat sehingga keseimbangan asam urat dalam tubuh dapat dikendalikan</w:t>
      </w:r>
      <w:r w:rsidR="00AA44A1" w:rsidRPr="004E5F0B">
        <w:rPr>
          <w:bCs/>
          <w:szCs w:val="24"/>
          <w:lang w:val="nl-NL"/>
        </w:rPr>
        <w:t>.</w:t>
      </w:r>
      <w:r w:rsidR="00D07BD5" w:rsidRPr="00314B19">
        <w:rPr>
          <w:bCs/>
          <w:szCs w:val="24"/>
          <w:lang w:val="nl-NL"/>
        </w:rPr>
        <w:fldChar w:fldCharType="begin" w:fldLock="1"/>
      </w:r>
      <w:r w:rsidR="00650E80">
        <w:rPr>
          <w:bCs/>
          <w:szCs w:val="24"/>
          <w:lang w:val="nl-NL"/>
        </w:rPr>
        <w:instrText>ADDIN CSL_CITATION {"citationItems":[{"id":"ITEM-1","itemData":{"author":[{"dropping-particle":"","family":"Lingga","given":"L.","non-dropping-particle":"","parse-names":false,"suffix":""}],"edition":"1","id":"ITEM-1","issued":{"date-parts":[["2012"]]},"publisher":"PT. AgroMedia Pustaka","publisher-place":"Jakarta","title":"Bebas Penyakit Asam Urat Tanpa Obat","type":"book"},"uris":["http://www.mendeley.com/documents/?uuid=72060d48-79ed-497c-92d6-28b25165da88"]}],"mendeley":{"formattedCitation":"&lt;sup&gt;26&lt;/sup&gt;","plainTextFormattedCitation":"26","previouslyFormattedCitation":"&lt;sup&gt;26&lt;/sup&gt;"},"properties":{"noteIndex":0},"schema":"https://github.com/citation-style-language/schema/raw/master/csl-citation.json"}</w:instrText>
      </w:r>
      <w:r w:rsidR="00D07BD5" w:rsidRPr="00314B19">
        <w:rPr>
          <w:bCs/>
          <w:szCs w:val="24"/>
          <w:lang w:val="nl-NL"/>
        </w:rPr>
        <w:fldChar w:fldCharType="separate"/>
      </w:r>
      <w:r w:rsidR="004E5F0B" w:rsidRPr="004E5F0B">
        <w:rPr>
          <w:bCs/>
          <w:noProof/>
          <w:szCs w:val="24"/>
          <w:vertAlign w:val="superscript"/>
          <w:lang w:val="nl-NL"/>
        </w:rPr>
        <w:t>26</w:t>
      </w:r>
      <w:r w:rsidR="00D07BD5" w:rsidRPr="00314B19">
        <w:rPr>
          <w:bCs/>
          <w:szCs w:val="24"/>
          <w:lang w:val="nl-NL"/>
        </w:rPr>
        <w:fldChar w:fldCharType="end"/>
      </w:r>
    </w:p>
    <w:p w14:paraId="30C648B7" w14:textId="77777777" w:rsidR="003D0ED6" w:rsidRPr="00161326" w:rsidRDefault="003D0ED6" w:rsidP="007D13A2">
      <w:pPr>
        <w:spacing w:line="276" w:lineRule="auto"/>
        <w:ind w:left="426" w:hanging="426"/>
        <w:rPr>
          <w:color w:val="FF0000"/>
          <w:lang w:val="id-ID"/>
        </w:rPr>
      </w:pPr>
    </w:p>
    <w:p w14:paraId="41E04F99" w14:textId="77777777" w:rsidR="003C41D6" w:rsidRPr="008C2E60" w:rsidRDefault="003C41D6" w:rsidP="00EF00A3">
      <w:pPr>
        <w:spacing w:line="276" w:lineRule="auto"/>
        <w:rPr>
          <w:b/>
          <w:i/>
          <w:lang w:val="id-ID"/>
        </w:rPr>
      </w:pPr>
      <w:r w:rsidRPr="008C2E60">
        <w:rPr>
          <w:b/>
          <w:lang w:val="id-ID"/>
        </w:rPr>
        <w:t xml:space="preserve">Analisis Selisih Kadar Asam Urat </w:t>
      </w:r>
      <w:r w:rsidRPr="008C2E60">
        <w:rPr>
          <w:b/>
          <w:i/>
          <w:lang w:val="id-ID"/>
        </w:rPr>
        <w:t xml:space="preserve">Pretest </w:t>
      </w:r>
      <w:r w:rsidRPr="008C2E60">
        <w:rPr>
          <w:b/>
          <w:lang w:val="id-ID"/>
        </w:rPr>
        <w:t xml:space="preserve">dan </w:t>
      </w:r>
      <w:r w:rsidRPr="008C2E60">
        <w:rPr>
          <w:b/>
          <w:i/>
          <w:lang w:val="id-ID"/>
        </w:rPr>
        <w:t>Posttest</w:t>
      </w:r>
    </w:p>
    <w:p w14:paraId="555A867C" w14:textId="44048A76" w:rsidR="003D0ED6" w:rsidRDefault="003D0ED6" w:rsidP="007D13A2">
      <w:pPr>
        <w:spacing w:line="276" w:lineRule="auto"/>
        <w:ind w:firstLine="567"/>
      </w:pPr>
      <w:r>
        <w:rPr>
          <w:lang w:val="id-ID"/>
        </w:rPr>
        <w:t>Hasil uji normalitas dan homogenitas</w:t>
      </w:r>
      <w:r w:rsidR="00161326">
        <w:rPr>
          <w:lang w:val="id-ID"/>
        </w:rPr>
        <w:t xml:space="preserve"> </w:t>
      </w:r>
      <w:r>
        <w:rPr>
          <w:lang w:val="id-ID"/>
        </w:rPr>
        <w:t xml:space="preserve">menunjukkan data berdistribusi normal dan homogen dengan nilai p &gt; 0,05. Kemudian dilanjutkan uji </w:t>
      </w:r>
      <w:r>
        <w:rPr>
          <w:i/>
          <w:lang w:val="id-ID"/>
        </w:rPr>
        <w:t xml:space="preserve">One Way Anova </w:t>
      </w:r>
      <w:r>
        <w:rPr>
          <w:lang w:val="id-ID"/>
        </w:rPr>
        <w:t xml:space="preserve">dan </w:t>
      </w:r>
      <w:r>
        <w:rPr>
          <w:i/>
          <w:lang w:val="id-ID"/>
        </w:rPr>
        <w:t xml:space="preserve">Post Hoc </w:t>
      </w:r>
      <w:r>
        <w:rPr>
          <w:lang w:val="id-ID"/>
        </w:rPr>
        <w:t xml:space="preserve">yang dapat dilihat pada </w:t>
      </w:r>
      <w:proofErr w:type="spellStart"/>
      <w:r w:rsidR="00EF00A3">
        <w:t>Tabel</w:t>
      </w:r>
      <w:proofErr w:type="spellEnd"/>
      <w:r w:rsidR="00EF00A3">
        <w:t xml:space="preserve"> 7</w:t>
      </w:r>
      <w:r w:rsidR="008A1054">
        <w:t>.</w:t>
      </w:r>
    </w:p>
    <w:p w14:paraId="7D40BB30" w14:textId="375A16FA" w:rsidR="00F512E3" w:rsidRPr="00EF00A3" w:rsidRDefault="00F512E3" w:rsidP="007D13A2">
      <w:pPr>
        <w:spacing w:line="276" w:lineRule="auto"/>
        <w:ind w:firstLine="567"/>
      </w:pPr>
      <w:r>
        <w:rPr>
          <w:lang w:val="id-ID"/>
        </w:rPr>
        <w:t xml:space="preserve">Berdasarkan Tabel 7 </w:t>
      </w:r>
      <w:r w:rsidRPr="00C74B83">
        <w:rPr>
          <w:szCs w:val="24"/>
          <w:lang w:val="id-ID"/>
        </w:rPr>
        <w:t xml:space="preserve">hasil uji </w:t>
      </w:r>
      <w:r w:rsidRPr="00C74B83">
        <w:rPr>
          <w:i/>
          <w:szCs w:val="24"/>
          <w:lang w:val="id-ID"/>
        </w:rPr>
        <w:t>One Way Anova</w:t>
      </w:r>
      <w:r w:rsidRPr="00C74B83">
        <w:rPr>
          <w:szCs w:val="24"/>
          <w:lang w:val="id-ID"/>
        </w:rPr>
        <w:t xml:space="preserve"> didapatkan nilai signifikansi p = 0,0</w:t>
      </w:r>
      <w:r>
        <w:rPr>
          <w:szCs w:val="24"/>
          <w:lang w:val="id-ID"/>
        </w:rPr>
        <w:t>00</w:t>
      </w:r>
      <w:r w:rsidRPr="00C74B83">
        <w:rPr>
          <w:szCs w:val="24"/>
          <w:lang w:val="id-ID"/>
        </w:rPr>
        <w:t xml:space="preserve"> (p &lt; 0,05) </w:t>
      </w:r>
      <w:r w:rsidRPr="00C74B83">
        <w:rPr>
          <w:lang w:val="id-ID"/>
        </w:rPr>
        <w:t xml:space="preserve">yang berarti terdapat perbedaan selisih kadar asam urat </w:t>
      </w:r>
      <w:r w:rsidRPr="00C74B83">
        <w:rPr>
          <w:i/>
          <w:lang w:val="id-ID"/>
        </w:rPr>
        <w:t>pretest</w:t>
      </w:r>
      <w:r w:rsidRPr="00C74B83">
        <w:rPr>
          <w:lang w:val="id-ID"/>
        </w:rPr>
        <w:t xml:space="preserve"> dan</w:t>
      </w:r>
      <w:r w:rsidRPr="00C74B83">
        <w:rPr>
          <w:i/>
          <w:lang w:val="id-ID"/>
        </w:rPr>
        <w:t xml:space="preserve"> posttest </w:t>
      </w:r>
      <w:r w:rsidRPr="00C74B83">
        <w:rPr>
          <w:lang w:val="id-ID"/>
        </w:rPr>
        <w:t>tiap kelompok</w:t>
      </w:r>
      <w:r w:rsidRPr="00384488">
        <w:rPr>
          <w:lang w:val="id-ID"/>
        </w:rPr>
        <w:t xml:space="preserve">. </w:t>
      </w:r>
      <w:r w:rsidRPr="00384488">
        <w:rPr>
          <w:szCs w:val="24"/>
          <w:lang w:val="id-ID"/>
        </w:rPr>
        <w:t xml:space="preserve">Berdasarkan hasil uji </w:t>
      </w:r>
      <w:r w:rsidRPr="00384488">
        <w:rPr>
          <w:i/>
          <w:lang w:val="id-ID"/>
        </w:rPr>
        <w:t xml:space="preserve">Post Hoc </w:t>
      </w:r>
      <w:r w:rsidRPr="00384488">
        <w:rPr>
          <w:lang w:val="id-ID"/>
        </w:rPr>
        <w:t xml:space="preserve">dapat diketahui bahwa ketiga </w:t>
      </w:r>
      <w:r w:rsidRPr="0042741B">
        <w:rPr>
          <w:lang w:val="id-ID"/>
        </w:rPr>
        <w:t xml:space="preserve">kelompok </w:t>
      </w:r>
      <w:r w:rsidRPr="00384488">
        <w:rPr>
          <w:lang w:val="id-ID"/>
        </w:rPr>
        <w:t xml:space="preserve">mengalami perbedaan </w:t>
      </w:r>
      <w:r w:rsidRPr="0042741B">
        <w:rPr>
          <w:lang w:val="id-ID"/>
        </w:rPr>
        <w:t xml:space="preserve">selisih </w:t>
      </w:r>
      <w:r w:rsidRPr="00384488">
        <w:rPr>
          <w:lang w:val="id-ID"/>
        </w:rPr>
        <w:t xml:space="preserve">bermakna. </w:t>
      </w:r>
      <w:r w:rsidRPr="0042741B">
        <w:rPr>
          <w:lang w:val="nl-NL"/>
        </w:rPr>
        <w:t xml:space="preserve">Kelompok K(+) dengan kelompok P mengalami perbedaan selisih yang bermakna. Hal tersebut sesuai dengan yang </w:t>
      </w:r>
      <w:r w:rsidRPr="0042741B">
        <w:rPr>
          <w:lang w:val="nl-NL"/>
        </w:rPr>
        <w:lastRenderedPageBreak/>
        <w:t xml:space="preserve">diharapkan peneliti karena kedua kelompok tersebut diinduksi kafein namun pada kelompok K(-) tidak diberi intervensi sehingga memiliki nilai kadar asam urat yang lebih tinggi. Meski menunjukkan adanya perbedaan selisih namun pada data persentase perubahan menunjukkan bahwa kelompok K(-) juga mengalami penurunan kadar asam urat sebesar 51,5%. </w:t>
      </w:r>
      <w:r w:rsidRPr="00384488">
        <w:rPr>
          <w:lang w:val="id-ID"/>
        </w:rPr>
        <w:t>Pada kelompok K(-) dengan kelompok P seharusnya tidak ada beda</w:t>
      </w:r>
      <w:r w:rsidRPr="0042741B">
        <w:rPr>
          <w:lang w:val="nl-NL"/>
        </w:rPr>
        <w:t xml:space="preserve"> karena kelompok K(-) merupakan kelompok pembanding yang tidak diberi perlakuan apapun. Sehingga dapat digunakan sebagai parameter keberhasilan dari kelompok P. Namun pada kedua kelompok tersebut terjadi perbedaan selisih yang signifikan karena pada kelompok kelompok K(-) mengalami penurunan kadar asam urat sebanyak 42%.</w:t>
      </w:r>
    </w:p>
    <w:p w14:paraId="498AF3B6" w14:textId="77777777" w:rsidR="00EF00A3" w:rsidRDefault="00EF00A3" w:rsidP="007D13A2">
      <w:pPr>
        <w:spacing w:line="276" w:lineRule="auto"/>
        <w:ind w:firstLine="567"/>
        <w:rPr>
          <w:lang w:val="id-ID"/>
        </w:rPr>
      </w:pPr>
    </w:p>
    <w:p w14:paraId="731D0011" w14:textId="0BFBAC68" w:rsidR="003D0ED6" w:rsidRDefault="00ED0C74" w:rsidP="00EF00A3">
      <w:pPr>
        <w:spacing w:line="276" w:lineRule="auto"/>
        <w:jc w:val="center"/>
        <w:rPr>
          <w:lang w:val="id-ID"/>
        </w:rPr>
      </w:pPr>
      <w:r>
        <w:rPr>
          <w:lang w:val="id-ID"/>
        </w:rPr>
        <w:t xml:space="preserve">Tabel </w:t>
      </w:r>
      <w:r w:rsidR="00E44B0B">
        <w:t>7</w:t>
      </w:r>
      <w:r>
        <w:rPr>
          <w:lang w:val="id-ID"/>
        </w:rPr>
        <w:t xml:space="preserve">. Analisis Selisih Kadar Asam Urat </w:t>
      </w:r>
      <w:r>
        <w:rPr>
          <w:i/>
          <w:lang w:val="id-ID"/>
        </w:rPr>
        <w:t xml:space="preserve">Pretest </w:t>
      </w:r>
      <w:r>
        <w:rPr>
          <w:lang w:val="id-ID"/>
        </w:rPr>
        <w:t xml:space="preserve">dan </w:t>
      </w:r>
      <w:r>
        <w:rPr>
          <w:i/>
          <w:lang w:val="id-ID"/>
        </w:rPr>
        <w:t xml:space="preserve">Posttest </w:t>
      </w:r>
      <w:r w:rsidR="00EF00A3">
        <w:t>T</w:t>
      </w:r>
      <w:r>
        <w:rPr>
          <w:lang w:val="id-ID"/>
        </w:rPr>
        <w:t>iap Kelompok</w:t>
      </w: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1985"/>
        <w:gridCol w:w="3260"/>
        <w:gridCol w:w="2418"/>
        <w:gridCol w:w="1976"/>
      </w:tblGrid>
      <w:tr w:rsidR="003D0ED6" w:rsidRPr="003C41D6" w14:paraId="004B9D2B" w14:textId="77777777" w:rsidTr="003C41D6">
        <w:trPr>
          <w:trHeight w:val="501"/>
        </w:trPr>
        <w:tc>
          <w:tcPr>
            <w:tcW w:w="1985" w:type="dxa"/>
            <w:tcBorders>
              <w:top w:val="single" w:sz="4" w:space="0" w:color="auto"/>
              <w:left w:val="nil"/>
              <w:bottom w:val="single" w:sz="4" w:space="0" w:color="auto"/>
              <w:right w:val="nil"/>
            </w:tcBorders>
            <w:vAlign w:val="center"/>
            <w:hideMark/>
          </w:tcPr>
          <w:p w14:paraId="3A98705B" w14:textId="77777777" w:rsidR="003D0ED6" w:rsidRPr="003C41D6" w:rsidRDefault="003D0ED6" w:rsidP="007D13A2">
            <w:pPr>
              <w:spacing w:line="276" w:lineRule="auto"/>
              <w:jc w:val="center"/>
              <w:rPr>
                <w:sz w:val="20"/>
                <w:szCs w:val="20"/>
                <w:lang w:val="id-ID"/>
              </w:rPr>
            </w:pPr>
            <w:proofErr w:type="spellStart"/>
            <w:r w:rsidRPr="003C41D6">
              <w:rPr>
                <w:sz w:val="20"/>
                <w:szCs w:val="20"/>
              </w:rPr>
              <w:t>Kelompok</w:t>
            </w:r>
            <w:proofErr w:type="spellEnd"/>
          </w:p>
        </w:tc>
        <w:tc>
          <w:tcPr>
            <w:tcW w:w="3260" w:type="dxa"/>
            <w:tcBorders>
              <w:top w:val="single" w:sz="4" w:space="0" w:color="auto"/>
              <w:left w:val="nil"/>
              <w:bottom w:val="single" w:sz="4" w:space="0" w:color="auto"/>
              <w:right w:val="nil"/>
            </w:tcBorders>
            <w:vAlign w:val="center"/>
            <w:hideMark/>
          </w:tcPr>
          <w:p w14:paraId="051B275B" w14:textId="77777777" w:rsidR="003D0ED6" w:rsidRPr="00C74B83" w:rsidRDefault="003D0ED6" w:rsidP="003C41D6">
            <w:pPr>
              <w:spacing w:line="276" w:lineRule="auto"/>
              <w:jc w:val="center"/>
              <w:rPr>
                <w:i/>
                <w:color w:val="000000"/>
                <w:sz w:val="20"/>
                <w:szCs w:val="20"/>
                <w:lang w:val="nl-NL"/>
              </w:rPr>
            </w:pPr>
            <w:r w:rsidRPr="00C74B83">
              <w:rPr>
                <w:sz w:val="20"/>
                <w:szCs w:val="20"/>
                <w:lang w:val="nl-NL"/>
              </w:rPr>
              <w:t xml:space="preserve">Selisih </w:t>
            </w:r>
            <w:r w:rsidRPr="00C74B83">
              <w:rPr>
                <w:i/>
                <w:color w:val="000000"/>
                <w:sz w:val="20"/>
                <w:szCs w:val="20"/>
                <w:lang w:val="nl-NL"/>
              </w:rPr>
              <w:t>pretest</w:t>
            </w:r>
            <w:r w:rsidR="003C41D6" w:rsidRPr="00C74B83">
              <w:rPr>
                <w:color w:val="000000"/>
                <w:sz w:val="20"/>
                <w:szCs w:val="20"/>
                <w:lang w:val="nl-NL"/>
              </w:rPr>
              <w:t xml:space="preserve"> dan</w:t>
            </w:r>
            <w:r w:rsidR="003C41D6">
              <w:rPr>
                <w:color w:val="000000"/>
                <w:sz w:val="20"/>
                <w:szCs w:val="20"/>
                <w:lang w:val="id-ID"/>
              </w:rPr>
              <w:t xml:space="preserve"> </w:t>
            </w:r>
            <w:r w:rsidRPr="00C74B83">
              <w:rPr>
                <w:i/>
                <w:color w:val="000000"/>
                <w:sz w:val="20"/>
                <w:szCs w:val="20"/>
                <w:lang w:val="nl-NL"/>
              </w:rPr>
              <w:t>posttest</w:t>
            </w:r>
            <w:r w:rsidR="003C41D6">
              <w:rPr>
                <w:i/>
                <w:color w:val="000000"/>
                <w:sz w:val="20"/>
                <w:szCs w:val="20"/>
                <w:lang w:val="id-ID"/>
              </w:rPr>
              <w:t xml:space="preserve"> </w:t>
            </w:r>
            <w:r w:rsidRPr="00C74B83">
              <w:rPr>
                <w:color w:val="000000"/>
                <w:sz w:val="20"/>
                <w:szCs w:val="20"/>
                <w:lang w:val="nl-NL"/>
              </w:rPr>
              <w:t>(mg/dl)</w:t>
            </w:r>
          </w:p>
        </w:tc>
        <w:tc>
          <w:tcPr>
            <w:tcW w:w="2418" w:type="dxa"/>
            <w:tcBorders>
              <w:top w:val="single" w:sz="4" w:space="0" w:color="auto"/>
              <w:left w:val="nil"/>
              <w:bottom w:val="single" w:sz="4" w:space="0" w:color="auto"/>
              <w:right w:val="nil"/>
            </w:tcBorders>
            <w:vAlign w:val="center"/>
            <w:hideMark/>
          </w:tcPr>
          <w:p w14:paraId="7DC18ECB" w14:textId="77777777" w:rsidR="003D0ED6" w:rsidRPr="003C41D6" w:rsidRDefault="00F42707" w:rsidP="003C41D6">
            <w:pPr>
              <w:spacing w:line="276" w:lineRule="auto"/>
              <w:jc w:val="center"/>
              <w:rPr>
                <w:sz w:val="20"/>
                <w:szCs w:val="20"/>
              </w:rPr>
            </w:pPr>
            <w:proofErr w:type="spellStart"/>
            <w:r>
              <w:rPr>
                <w:sz w:val="20"/>
                <w:szCs w:val="20"/>
              </w:rPr>
              <w:t>Persentase</w:t>
            </w:r>
            <w:proofErr w:type="spellEnd"/>
            <w:r w:rsidR="003D0ED6" w:rsidRPr="003C41D6">
              <w:rPr>
                <w:sz w:val="20"/>
                <w:szCs w:val="20"/>
              </w:rPr>
              <w:t xml:space="preserve"> </w:t>
            </w:r>
            <w:proofErr w:type="spellStart"/>
            <w:r w:rsidR="003D0ED6" w:rsidRPr="003C41D6">
              <w:rPr>
                <w:sz w:val="20"/>
                <w:szCs w:val="20"/>
              </w:rPr>
              <w:t>Perubahan</w:t>
            </w:r>
            <w:proofErr w:type="spellEnd"/>
            <w:r w:rsidR="003C41D6">
              <w:rPr>
                <w:sz w:val="20"/>
                <w:szCs w:val="20"/>
                <w:lang w:val="id-ID"/>
              </w:rPr>
              <w:t xml:space="preserve"> </w:t>
            </w:r>
            <w:r w:rsidR="003D0ED6" w:rsidRPr="003C41D6">
              <w:rPr>
                <w:sz w:val="20"/>
                <w:szCs w:val="20"/>
              </w:rPr>
              <w:t>(%)</w:t>
            </w:r>
          </w:p>
        </w:tc>
        <w:tc>
          <w:tcPr>
            <w:tcW w:w="1976" w:type="dxa"/>
            <w:tcBorders>
              <w:top w:val="single" w:sz="4" w:space="0" w:color="auto"/>
              <w:left w:val="nil"/>
              <w:bottom w:val="single" w:sz="4" w:space="0" w:color="auto"/>
              <w:right w:val="nil"/>
            </w:tcBorders>
            <w:vAlign w:val="center"/>
          </w:tcPr>
          <w:p w14:paraId="058FFF8E" w14:textId="77777777" w:rsidR="003D0ED6" w:rsidRPr="003C41D6" w:rsidRDefault="003045E4" w:rsidP="003C41D6">
            <w:pPr>
              <w:spacing w:line="276" w:lineRule="auto"/>
              <w:jc w:val="center"/>
              <w:rPr>
                <w:sz w:val="20"/>
                <w:szCs w:val="20"/>
              </w:rPr>
            </w:pPr>
            <w:r w:rsidRPr="003C41D6">
              <w:rPr>
                <w:sz w:val="20"/>
                <w:szCs w:val="20"/>
              </w:rPr>
              <w:t>P</w:t>
            </w:r>
          </w:p>
        </w:tc>
      </w:tr>
      <w:tr w:rsidR="00ED0C74" w:rsidRPr="003C41D6" w14:paraId="689E9BB5" w14:textId="77777777" w:rsidTr="003C41D6">
        <w:trPr>
          <w:trHeight w:val="251"/>
        </w:trPr>
        <w:tc>
          <w:tcPr>
            <w:tcW w:w="1985" w:type="dxa"/>
            <w:tcBorders>
              <w:top w:val="single" w:sz="4" w:space="0" w:color="auto"/>
              <w:left w:val="nil"/>
              <w:bottom w:val="nil"/>
              <w:right w:val="nil"/>
            </w:tcBorders>
            <w:hideMark/>
          </w:tcPr>
          <w:p w14:paraId="6FD91F09" w14:textId="77777777" w:rsidR="00ED0C74" w:rsidRPr="003C41D6" w:rsidRDefault="00ED0C74" w:rsidP="007D13A2">
            <w:pPr>
              <w:spacing w:line="276" w:lineRule="auto"/>
              <w:rPr>
                <w:sz w:val="20"/>
                <w:szCs w:val="20"/>
                <w:lang w:val="id-ID"/>
              </w:rPr>
            </w:pPr>
            <w:proofErr w:type="gramStart"/>
            <w:r w:rsidRPr="003C41D6">
              <w:rPr>
                <w:sz w:val="20"/>
                <w:szCs w:val="20"/>
              </w:rPr>
              <w:t>K(</w:t>
            </w:r>
            <w:proofErr w:type="gramEnd"/>
            <w:r w:rsidRPr="003C41D6">
              <w:rPr>
                <w:sz w:val="20"/>
                <w:szCs w:val="20"/>
              </w:rPr>
              <w:t>-)</w:t>
            </w:r>
            <w:r w:rsidRPr="003C41D6">
              <w:rPr>
                <w:sz w:val="20"/>
                <w:szCs w:val="20"/>
                <w:vertAlign w:val="superscript"/>
                <w:lang w:val="id-ID"/>
              </w:rPr>
              <w:t>a</w:t>
            </w:r>
          </w:p>
        </w:tc>
        <w:tc>
          <w:tcPr>
            <w:tcW w:w="3260" w:type="dxa"/>
            <w:tcBorders>
              <w:top w:val="single" w:sz="4" w:space="0" w:color="auto"/>
              <w:left w:val="nil"/>
              <w:bottom w:val="nil"/>
              <w:right w:val="nil"/>
            </w:tcBorders>
            <w:vAlign w:val="center"/>
            <w:hideMark/>
          </w:tcPr>
          <w:p w14:paraId="778880BF" w14:textId="77777777" w:rsidR="00ED0C74" w:rsidRPr="003C41D6" w:rsidRDefault="00ED0C74" w:rsidP="007D13A2">
            <w:pPr>
              <w:spacing w:line="276" w:lineRule="auto"/>
              <w:jc w:val="center"/>
              <w:rPr>
                <w:sz w:val="20"/>
                <w:szCs w:val="20"/>
              </w:rPr>
            </w:pPr>
            <w:r w:rsidRPr="003C41D6">
              <w:rPr>
                <w:sz w:val="20"/>
                <w:szCs w:val="20"/>
              </w:rPr>
              <w:t>1,28</w:t>
            </w:r>
          </w:p>
        </w:tc>
        <w:tc>
          <w:tcPr>
            <w:tcW w:w="2418" w:type="dxa"/>
            <w:tcBorders>
              <w:top w:val="single" w:sz="4" w:space="0" w:color="auto"/>
              <w:left w:val="nil"/>
              <w:bottom w:val="nil"/>
              <w:right w:val="nil"/>
            </w:tcBorders>
            <w:vAlign w:val="center"/>
            <w:hideMark/>
          </w:tcPr>
          <w:p w14:paraId="4AC01DF1" w14:textId="77777777" w:rsidR="00ED0C74" w:rsidRPr="003C41D6" w:rsidRDefault="00ED0C74" w:rsidP="007D13A2">
            <w:pPr>
              <w:spacing w:line="276" w:lineRule="auto"/>
              <w:jc w:val="center"/>
              <w:rPr>
                <w:sz w:val="20"/>
                <w:szCs w:val="20"/>
              </w:rPr>
            </w:pPr>
            <w:r w:rsidRPr="003C41D6">
              <w:rPr>
                <w:sz w:val="20"/>
                <w:szCs w:val="20"/>
              </w:rPr>
              <w:t>42</w:t>
            </w:r>
          </w:p>
        </w:tc>
        <w:tc>
          <w:tcPr>
            <w:tcW w:w="1976" w:type="dxa"/>
            <w:tcBorders>
              <w:top w:val="single" w:sz="4" w:space="0" w:color="auto"/>
              <w:left w:val="nil"/>
              <w:bottom w:val="nil"/>
              <w:right w:val="nil"/>
            </w:tcBorders>
          </w:tcPr>
          <w:p w14:paraId="47497873" w14:textId="77777777" w:rsidR="00ED0C74" w:rsidRPr="003C41D6" w:rsidRDefault="00ED0C74" w:rsidP="007D13A2">
            <w:pPr>
              <w:spacing w:line="276" w:lineRule="auto"/>
              <w:jc w:val="center"/>
              <w:rPr>
                <w:sz w:val="20"/>
                <w:szCs w:val="20"/>
              </w:rPr>
            </w:pPr>
          </w:p>
        </w:tc>
      </w:tr>
      <w:tr w:rsidR="00ED0C74" w:rsidRPr="003C41D6" w14:paraId="47AE41A3" w14:textId="77777777" w:rsidTr="003C41D6">
        <w:trPr>
          <w:trHeight w:val="268"/>
        </w:trPr>
        <w:tc>
          <w:tcPr>
            <w:tcW w:w="1985" w:type="dxa"/>
            <w:tcBorders>
              <w:top w:val="nil"/>
              <w:left w:val="nil"/>
              <w:bottom w:val="nil"/>
              <w:right w:val="nil"/>
            </w:tcBorders>
            <w:hideMark/>
          </w:tcPr>
          <w:p w14:paraId="27C856FB" w14:textId="77777777" w:rsidR="00ED0C74" w:rsidRPr="003C41D6" w:rsidRDefault="00ED0C74" w:rsidP="007D13A2">
            <w:pPr>
              <w:spacing w:line="276" w:lineRule="auto"/>
              <w:rPr>
                <w:sz w:val="20"/>
                <w:szCs w:val="20"/>
                <w:lang w:val="id-ID"/>
              </w:rPr>
            </w:pPr>
            <w:proofErr w:type="gramStart"/>
            <w:r w:rsidRPr="003C41D6">
              <w:rPr>
                <w:sz w:val="20"/>
                <w:szCs w:val="20"/>
              </w:rPr>
              <w:t>K(</w:t>
            </w:r>
            <w:proofErr w:type="gramEnd"/>
            <w:r w:rsidRPr="003C41D6">
              <w:rPr>
                <w:sz w:val="20"/>
                <w:szCs w:val="20"/>
              </w:rPr>
              <w:t>+)</w:t>
            </w:r>
            <w:r w:rsidRPr="003C41D6">
              <w:rPr>
                <w:sz w:val="20"/>
                <w:szCs w:val="20"/>
                <w:vertAlign w:val="superscript"/>
                <w:lang w:val="id-ID"/>
              </w:rPr>
              <w:t>b</w:t>
            </w:r>
          </w:p>
        </w:tc>
        <w:tc>
          <w:tcPr>
            <w:tcW w:w="3260" w:type="dxa"/>
            <w:tcBorders>
              <w:top w:val="nil"/>
              <w:left w:val="nil"/>
              <w:bottom w:val="nil"/>
              <w:right w:val="nil"/>
            </w:tcBorders>
            <w:vAlign w:val="center"/>
            <w:hideMark/>
          </w:tcPr>
          <w:p w14:paraId="4BBDA80F" w14:textId="77777777" w:rsidR="00ED0C74" w:rsidRPr="003C41D6" w:rsidRDefault="00ED0C74" w:rsidP="007D13A2">
            <w:pPr>
              <w:spacing w:line="276" w:lineRule="auto"/>
              <w:jc w:val="center"/>
              <w:rPr>
                <w:sz w:val="20"/>
                <w:szCs w:val="20"/>
              </w:rPr>
            </w:pPr>
            <w:r w:rsidRPr="003C41D6">
              <w:rPr>
                <w:sz w:val="20"/>
                <w:szCs w:val="20"/>
              </w:rPr>
              <w:t>2,56</w:t>
            </w:r>
          </w:p>
        </w:tc>
        <w:tc>
          <w:tcPr>
            <w:tcW w:w="2418" w:type="dxa"/>
            <w:tcBorders>
              <w:top w:val="nil"/>
              <w:left w:val="nil"/>
              <w:bottom w:val="nil"/>
              <w:right w:val="nil"/>
            </w:tcBorders>
            <w:vAlign w:val="center"/>
            <w:hideMark/>
          </w:tcPr>
          <w:p w14:paraId="45E52F3A" w14:textId="77777777" w:rsidR="00ED0C74" w:rsidRPr="003C41D6" w:rsidRDefault="00ED0C74" w:rsidP="007D13A2">
            <w:pPr>
              <w:spacing w:line="276" w:lineRule="auto"/>
              <w:jc w:val="center"/>
              <w:rPr>
                <w:sz w:val="20"/>
                <w:szCs w:val="20"/>
              </w:rPr>
            </w:pPr>
            <w:r w:rsidRPr="003C41D6">
              <w:rPr>
                <w:sz w:val="20"/>
                <w:szCs w:val="20"/>
              </w:rPr>
              <w:t>51,5</w:t>
            </w:r>
          </w:p>
        </w:tc>
        <w:tc>
          <w:tcPr>
            <w:tcW w:w="1976" w:type="dxa"/>
            <w:tcBorders>
              <w:top w:val="nil"/>
              <w:left w:val="nil"/>
              <w:bottom w:val="nil"/>
              <w:right w:val="nil"/>
            </w:tcBorders>
            <w:hideMark/>
          </w:tcPr>
          <w:p w14:paraId="04518D81" w14:textId="77777777" w:rsidR="00ED0C74" w:rsidRPr="003C41D6" w:rsidRDefault="00ED0C74" w:rsidP="007D13A2">
            <w:pPr>
              <w:spacing w:line="276" w:lineRule="auto"/>
              <w:jc w:val="center"/>
              <w:rPr>
                <w:sz w:val="20"/>
                <w:szCs w:val="20"/>
              </w:rPr>
            </w:pPr>
            <w:r w:rsidRPr="003C41D6">
              <w:rPr>
                <w:sz w:val="20"/>
                <w:szCs w:val="20"/>
              </w:rPr>
              <w:t>0,0</w:t>
            </w:r>
            <w:r w:rsidRPr="003C41D6">
              <w:rPr>
                <w:sz w:val="20"/>
                <w:szCs w:val="20"/>
                <w:lang w:val="id-ID"/>
              </w:rPr>
              <w:t>00</w:t>
            </w:r>
            <w:r w:rsidRPr="003C41D6">
              <w:rPr>
                <w:sz w:val="20"/>
                <w:szCs w:val="20"/>
              </w:rPr>
              <w:t>*</w:t>
            </w:r>
          </w:p>
        </w:tc>
      </w:tr>
      <w:tr w:rsidR="00ED0C74" w:rsidRPr="003C41D6" w14:paraId="56DABA57" w14:textId="77777777" w:rsidTr="003C41D6">
        <w:trPr>
          <w:trHeight w:val="268"/>
        </w:trPr>
        <w:tc>
          <w:tcPr>
            <w:tcW w:w="1985" w:type="dxa"/>
            <w:tcBorders>
              <w:top w:val="nil"/>
              <w:left w:val="nil"/>
              <w:bottom w:val="single" w:sz="4" w:space="0" w:color="auto"/>
              <w:right w:val="nil"/>
            </w:tcBorders>
            <w:hideMark/>
          </w:tcPr>
          <w:p w14:paraId="0318F7C4" w14:textId="77777777" w:rsidR="00ED0C74" w:rsidRPr="003C41D6" w:rsidRDefault="00ED0C74" w:rsidP="007D13A2">
            <w:pPr>
              <w:spacing w:line="276" w:lineRule="auto"/>
              <w:rPr>
                <w:sz w:val="20"/>
                <w:szCs w:val="20"/>
                <w:lang w:val="id-ID"/>
              </w:rPr>
            </w:pPr>
            <w:r w:rsidRPr="003C41D6">
              <w:rPr>
                <w:sz w:val="20"/>
                <w:szCs w:val="20"/>
              </w:rPr>
              <w:t>P</w:t>
            </w:r>
            <w:r w:rsidRPr="003C41D6">
              <w:rPr>
                <w:sz w:val="20"/>
                <w:szCs w:val="20"/>
                <w:vertAlign w:val="superscript"/>
                <w:lang w:val="id-ID"/>
              </w:rPr>
              <w:t>c</w:t>
            </w:r>
          </w:p>
        </w:tc>
        <w:tc>
          <w:tcPr>
            <w:tcW w:w="3260" w:type="dxa"/>
            <w:tcBorders>
              <w:top w:val="nil"/>
              <w:left w:val="nil"/>
              <w:bottom w:val="single" w:sz="4" w:space="0" w:color="auto"/>
              <w:right w:val="nil"/>
            </w:tcBorders>
            <w:vAlign w:val="center"/>
            <w:hideMark/>
          </w:tcPr>
          <w:p w14:paraId="6FE5BCBE" w14:textId="77777777" w:rsidR="00ED0C74" w:rsidRPr="003C41D6" w:rsidRDefault="00ED0C74" w:rsidP="007D13A2">
            <w:pPr>
              <w:spacing w:line="276" w:lineRule="auto"/>
              <w:jc w:val="center"/>
              <w:rPr>
                <w:sz w:val="20"/>
                <w:szCs w:val="20"/>
              </w:rPr>
            </w:pPr>
            <w:r w:rsidRPr="003C41D6">
              <w:rPr>
                <w:sz w:val="20"/>
                <w:szCs w:val="20"/>
              </w:rPr>
              <w:t xml:space="preserve">3,79 </w:t>
            </w:r>
          </w:p>
        </w:tc>
        <w:tc>
          <w:tcPr>
            <w:tcW w:w="2418" w:type="dxa"/>
            <w:tcBorders>
              <w:top w:val="nil"/>
              <w:left w:val="nil"/>
              <w:bottom w:val="single" w:sz="4" w:space="0" w:color="auto"/>
              <w:right w:val="nil"/>
            </w:tcBorders>
            <w:vAlign w:val="center"/>
            <w:hideMark/>
          </w:tcPr>
          <w:p w14:paraId="5B86BB1D" w14:textId="77777777" w:rsidR="00ED0C74" w:rsidRPr="003C41D6" w:rsidRDefault="00ED0C74" w:rsidP="007D13A2">
            <w:pPr>
              <w:spacing w:line="276" w:lineRule="auto"/>
              <w:jc w:val="center"/>
              <w:rPr>
                <w:sz w:val="20"/>
                <w:szCs w:val="20"/>
              </w:rPr>
            </w:pPr>
            <w:r w:rsidRPr="003C41D6">
              <w:rPr>
                <w:sz w:val="20"/>
                <w:szCs w:val="20"/>
              </w:rPr>
              <w:t>70</w:t>
            </w:r>
          </w:p>
        </w:tc>
        <w:tc>
          <w:tcPr>
            <w:tcW w:w="1976" w:type="dxa"/>
            <w:tcBorders>
              <w:top w:val="nil"/>
              <w:left w:val="nil"/>
              <w:bottom w:val="single" w:sz="4" w:space="0" w:color="auto"/>
              <w:right w:val="nil"/>
            </w:tcBorders>
          </w:tcPr>
          <w:p w14:paraId="5AC51C47" w14:textId="77777777" w:rsidR="00ED0C74" w:rsidRPr="003C41D6" w:rsidRDefault="00ED0C74" w:rsidP="007D13A2">
            <w:pPr>
              <w:spacing w:line="276" w:lineRule="auto"/>
              <w:jc w:val="center"/>
              <w:rPr>
                <w:sz w:val="20"/>
                <w:szCs w:val="20"/>
              </w:rPr>
            </w:pPr>
          </w:p>
        </w:tc>
      </w:tr>
    </w:tbl>
    <w:p w14:paraId="202B80B0" w14:textId="77777777" w:rsidR="00ED0C74" w:rsidRPr="00EE660B" w:rsidRDefault="00ED0C74" w:rsidP="007D13A2">
      <w:pPr>
        <w:spacing w:line="276" w:lineRule="auto"/>
        <w:rPr>
          <w:sz w:val="20"/>
          <w:lang w:val="id-ID"/>
        </w:rPr>
      </w:pPr>
      <w:r w:rsidRPr="00EE660B">
        <w:rPr>
          <w:sz w:val="20"/>
          <w:lang w:val="id-ID"/>
        </w:rPr>
        <w:t>Keterangan: *signifikan p &lt; 0,05. Angka yang didampingi huruf m</w:t>
      </w:r>
      <w:r>
        <w:rPr>
          <w:sz w:val="20"/>
          <w:lang w:val="id-ID"/>
        </w:rPr>
        <w:t>enandakan perbedaan yang bermakna</w:t>
      </w:r>
      <w:r w:rsidRPr="00EE660B">
        <w:rPr>
          <w:sz w:val="20"/>
          <w:lang w:val="id-ID"/>
        </w:rPr>
        <w:t xml:space="preserve">, dan jika huruf yang sama artinya </w:t>
      </w:r>
      <w:r>
        <w:rPr>
          <w:sz w:val="20"/>
          <w:lang w:val="id-ID"/>
        </w:rPr>
        <w:t>tidak ada perbedaan yang bermakna</w:t>
      </w:r>
      <w:r w:rsidRPr="00EE660B">
        <w:rPr>
          <w:sz w:val="20"/>
          <w:lang w:val="id-ID"/>
        </w:rPr>
        <w:t xml:space="preserve">. </w:t>
      </w:r>
    </w:p>
    <w:p w14:paraId="3FF494B0" w14:textId="77777777" w:rsidR="003D0ED6" w:rsidRDefault="003D0ED6" w:rsidP="007D13A2">
      <w:pPr>
        <w:spacing w:line="276" w:lineRule="auto"/>
        <w:ind w:left="426" w:hanging="426"/>
        <w:rPr>
          <w:lang w:val="id-ID"/>
        </w:rPr>
      </w:pPr>
    </w:p>
    <w:p w14:paraId="7E74953D" w14:textId="77777777" w:rsidR="00167706" w:rsidRPr="0042741B" w:rsidRDefault="00F42707" w:rsidP="00C779C6">
      <w:pPr>
        <w:spacing w:line="276" w:lineRule="auto"/>
        <w:ind w:firstLine="567"/>
        <w:rPr>
          <w:lang w:val="nl-NL"/>
        </w:rPr>
      </w:pPr>
      <w:r w:rsidRPr="0042741B">
        <w:rPr>
          <w:lang w:val="nl-NL"/>
        </w:rPr>
        <w:t>Terjadinya penurunan kadar asam urat pada kelomp</w:t>
      </w:r>
      <w:r w:rsidR="0086236F" w:rsidRPr="0042741B">
        <w:rPr>
          <w:lang w:val="nl-NL"/>
        </w:rPr>
        <w:t>ok K(-) dan kelompok K(+)</w:t>
      </w:r>
      <w:r w:rsidRPr="0042741B">
        <w:rPr>
          <w:lang w:val="nl-NL"/>
        </w:rPr>
        <w:t xml:space="preserve"> </w:t>
      </w:r>
      <w:r w:rsidR="0086236F" w:rsidRPr="0042741B">
        <w:rPr>
          <w:lang w:val="nl-NL"/>
        </w:rPr>
        <w:t xml:space="preserve">disebabkan oleh beberapa faktor seperti yang sudah dijelaskan sebelumnya. Salah satu faktor yang diduga mempengaruhi penurunan kadar asam urat adalah perbedaan objek </w:t>
      </w:r>
      <w:r w:rsidR="005B533B">
        <w:rPr>
          <w:lang w:val="nl-NL"/>
        </w:rPr>
        <w:t>yang diukur seperti berat badan.</w:t>
      </w:r>
      <w:r w:rsidR="005B533B">
        <w:rPr>
          <w:lang w:val="nl-NL"/>
        </w:rPr>
        <w:fldChar w:fldCharType="begin" w:fldLock="1"/>
      </w:r>
      <w:r w:rsidR="00650E80">
        <w:rPr>
          <w:lang w:val="nl-NL"/>
        </w:rPr>
        <w:instrText>ADDIN CSL_CITATION {"citationItems":[{"id":"ITEM-1","itemData":{"ISSN":"2348-5221","abstract":"Several studies have been conducted on the analysis of physico-chemical and biological parameters in large number of aquatic ecosystems in recent past. The more scientific method of assessment of water quality is to develop correlation between different physico-chemical parameters, which could be helpful in the interpretation of the observed data and estimation of the pollution load and show their relationship with a single parameter to other parameters on a scientific basis. Temperature is one of the important physical parameter which is directly affected to all physico-chemical properties. It is also one of the crucial limnological parameters that play a significant role in regulating the water quality as well as the productivity of the ecosystem. Present study try to focus on the develop correlation between temperature and some other physico-chemical parameters of the aquatic eco-system of Bundelkhand region as a preliminary investigation. During the study it was found that temperature is significantly positive (+) with pH, EC, Alkalinity, Nitrate , Turbidity, Total Solid, Total Dissolved Solid , Total Suspended Solid, Total Hardness, Bi o-chemical Oxygen Demand and Chemical Oxygen Demand but showed negative (-) with Dissolve Oxygen , and Fluoride content.","author":[{"dropping-particle":"","family":"Tahir","given":"Iqmal","non-dropping-particle":"","parse-names":false,"suffix":""}],"container-title":"Universitas Gajah Mada, Yogyakarta","id":"ITEM-1","issue":"3","issued":{"date-parts":[["2015"]]},"page":"1-8","title":"Arti penting kalibrasi pada proses pengukuran analitik : aplikasi pada penggunaan pHmeter dan spektrofotometer UV-Vis","type":"article-journal","volume":"2"},"uris":["http://www.mendeley.com/documents/?uuid=28b7a367-9462-4a0e-a8f5-fefd97a45e5a"]}],"mendeley":{"formattedCitation":"&lt;sup&gt;25&lt;/sup&gt;","plainTextFormattedCitation":"25","previouslyFormattedCitation":"&lt;sup&gt;25&lt;/sup&gt;"},"properties":{"noteIndex":0},"schema":"https://github.com/citation-style-language/schema/raw/master/csl-citation.json"}</w:instrText>
      </w:r>
      <w:r w:rsidR="005B533B">
        <w:rPr>
          <w:lang w:val="nl-NL"/>
        </w:rPr>
        <w:fldChar w:fldCharType="separate"/>
      </w:r>
      <w:r w:rsidR="004E5F0B" w:rsidRPr="004E5F0B">
        <w:rPr>
          <w:noProof/>
          <w:vertAlign w:val="superscript"/>
          <w:lang w:val="nl-NL"/>
        </w:rPr>
        <w:t>25</w:t>
      </w:r>
      <w:r w:rsidR="005B533B">
        <w:rPr>
          <w:lang w:val="nl-NL"/>
        </w:rPr>
        <w:fldChar w:fldCharType="end"/>
      </w:r>
      <w:r w:rsidR="0086236F" w:rsidRPr="0042741B">
        <w:rPr>
          <w:lang w:val="nl-NL"/>
        </w:rPr>
        <w:t xml:space="preserve"> </w:t>
      </w:r>
      <w:r w:rsidR="00865A74" w:rsidRPr="0042741B">
        <w:rPr>
          <w:lang w:val="nl-NL"/>
        </w:rPr>
        <w:t>Akan tetapi pada penelitian Rahmawati dkk., menunjukkan bahwa variable berat badan tidak berpengaruh</w:t>
      </w:r>
      <w:r w:rsidR="005B533B">
        <w:rPr>
          <w:lang w:val="nl-NL"/>
        </w:rPr>
        <w:t xml:space="preserve"> terhadap kadar asam urat tikus</w:t>
      </w:r>
      <w:r w:rsidR="00865A74" w:rsidRPr="0042741B">
        <w:rPr>
          <w:lang w:val="nl-NL"/>
        </w:rPr>
        <w:t>.</w:t>
      </w:r>
      <w:r w:rsidR="005B533B">
        <w:rPr>
          <w:lang w:val="nl-NL"/>
        </w:rPr>
        <w:fldChar w:fldCharType="begin" w:fldLock="1"/>
      </w:r>
      <w:r w:rsidR="00650E80">
        <w:rPr>
          <w:lang w:val="nl-NL"/>
        </w:rPr>
        <w:instrText>ADDIN CSL_CITATION {"citationItems":[{"id":"ITEM-1","itemData":{"abstract":"Background : Uric acid is the end product of purine metabolism. If the serum uric acid has an excessive level, it can induce many diseases, such as gout. Moringa oleifera Lamk, known as \" daun kelor \" in Indonesia, has been used as a herb medicine for the treatment of gout, arthritis and other diseases because its phytochemical contains. The present of study was carried out to investigate the effect of moringa leaves infusion on serum uric acid in rats. Methods : Twelve Wistar rats with body weight of 150 – 180 g were grouped equally into two groups randomly. They were orally administered goat brain 2 g/rat/day for 8 days. After being given goat brain, control and treatment group were given aquades and moringa leaves infusion 3,6 ml for 14 days, respectively. Moringa leaves powder dose 3,75 g/kg bw was steeped with hot water (60 0","author":[{"dropping-particle":"","family":"Candra","given":"Aryu K","non-dropping-particle":"","parse-names":false,"suffix":""},{"dropping-particle":"","family":"Rahmawati","given":"","non-dropping-particle":"","parse-names":false,"suffix":""}],"container-title":"Journal of Nutrition College","id":"ITEM-1","issued":{"date-parts":[["2015"]]},"page":"593-598","title":"Pengaruh Pemberian Seduhan Daun Kelor (Moringa Oleifera Lamk) Terhadap Kadar Asam Urat Tikus Putih (Rattus norvegicus)","type":"article-journal","volume":"4(2)"},"uris":["http://www.mendeley.com/documents/?uuid=9dc56e07-17d5-46a7-89c1-d79d0637c170"]}],"mendeley":{"formattedCitation":"&lt;sup&gt;22&lt;/sup&gt;","plainTextFormattedCitation":"22","previouslyFormattedCitation":"&lt;sup&gt;22&lt;/sup&gt;"},"properties":{"noteIndex":0},"schema":"https://github.com/citation-style-language/schema/raw/master/csl-citation.json"}</w:instrText>
      </w:r>
      <w:r w:rsidR="005B533B">
        <w:rPr>
          <w:lang w:val="nl-NL"/>
        </w:rPr>
        <w:fldChar w:fldCharType="separate"/>
      </w:r>
      <w:r w:rsidR="004E5F0B" w:rsidRPr="004E5F0B">
        <w:rPr>
          <w:noProof/>
          <w:vertAlign w:val="superscript"/>
          <w:lang w:val="nl-NL"/>
        </w:rPr>
        <w:t>22</w:t>
      </w:r>
      <w:r w:rsidR="005B533B">
        <w:rPr>
          <w:lang w:val="nl-NL"/>
        </w:rPr>
        <w:fldChar w:fldCharType="end"/>
      </w:r>
      <w:r w:rsidR="00865A74" w:rsidRPr="0042741B">
        <w:rPr>
          <w:lang w:val="nl-NL"/>
        </w:rPr>
        <w:t xml:space="preserve"> Pada penelitian ini peneliti tidak melakukan analisis terkait perbedaan berat badan tikus sehingga tidak diketahui apakah faktor tersebut mempengaruhi.</w:t>
      </w:r>
      <w:r w:rsidR="00F05792" w:rsidRPr="0042741B">
        <w:rPr>
          <w:lang w:val="nl-NL"/>
        </w:rPr>
        <w:t xml:space="preserve"> Faktor lain yang diduga juga berpengaruh yaitu perbedaan alat dan instrumentasi yang dig</w:t>
      </w:r>
      <w:r w:rsidR="005B533B">
        <w:rPr>
          <w:lang w:val="nl-NL"/>
        </w:rPr>
        <w:t>unakan seperti serum dan reagen.</w:t>
      </w:r>
      <w:r w:rsidR="005B533B">
        <w:rPr>
          <w:lang w:val="nl-NL"/>
        </w:rPr>
        <w:fldChar w:fldCharType="begin" w:fldLock="1"/>
      </w:r>
      <w:r w:rsidR="00650E80">
        <w:rPr>
          <w:lang w:val="nl-NL"/>
        </w:rPr>
        <w:instrText>ADDIN CSL_CITATION {"citationItems":[{"id":"ITEM-1","itemData":{"ISSN":"2348-5221","abstract":"Several studies have been conducted on the analysis of physico-chemical and biological parameters in large number of aquatic ecosystems in recent past. The more scientific method of assessment of water quality is to develop correlation between different physico-chemical parameters, which could be helpful in the interpretation of the observed data and estimation of the pollution load and show their relationship with a single parameter to other parameters on a scientific basis. Temperature is one of the important physical parameter which is directly affected to all physico-chemical properties. It is also one of the crucial limnological parameters that play a significant role in regulating the water quality as well as the productivity of the ecosystem. Present study try to focus on the develop correlation between temperature and some other physico-chemical parameters of the aquatic eco-system of Bundelkhand region as a preliminary investigation. During the study it was found that temperature is significantly positive (+) with pH, EC, Alkalinity, Nitrate , Turbidity, Total Solid, Total Dissolved Solid , Total Suspended Solid, Total Hardness, Bi o-chemical Oxygen Demand and Chemical Oxygen Demand but showed negative (-) with Dissolve Oxygen , and Fluoride content.","author":[{"dropping-particle":"","family":"Tahir","given":"Iqmal","non-dropping-particle":"","parse-names":false,"suffix":""}],"container-title":"Universitas Gajah Mada, Yogyakarta","id":"ITEM-1","issue":"3","issued":{"date-parts":[["2015"]]},"page":"1-8","title":"Arti penting kalibrasi pada proses pengukuran analitik : aplikasi pada penggunaan pHmeter dan spektrofotometer UV-Vis","type":"article-journal","volume":"2"},"uris":["http://www.mendeley.com/documents/?uuid=28b7a367-9462-4a0e-a8f5-fefd97a45e5a"]}],"mendeley":{"formattedCitation":"&lt;sup&gt;25&lt;/sup&gt;","plainTextFormattedCitation":"25","previouslyFormattedCitation":"&lt;sup&gt;25&lt;/sup&gt;"},"properties":{"noteIndex":0},"schema":"https://github.com/citation-style-language/schema/raw/master/csl-citation.json"}</w:instrText>
      </w:r>
      <w:r w:rsidR="005B533B">
        <w:rPr>
          <w:lang w:val="nl-NL"/>
        </w:rPr>
        <w:fldChar w:fldCharType="separate"/>
      </w:r>
      <w:r w:rsidR="004E5F0B" w:rsidRPr="004E5F0B">
        <w:rPr>
          <w:noProof/>
          <w:vertAlign w:val="superscript"/>
          <w:lang w:val="nl-NL"/>
        </w:rPr>
        <w:t>25</w:t>
      </w:r>
      <w:r w:rsidR="005B533B">
        <w:rPr>
          <w:lang w:val="nl-NL"/>
        </w:rPr>
        <w:fldChar w:fldCharType="end"/>
      </w:r>
      <w:r w:rsidR="005B533B">
        <w:rPr>
          <w:lang w:val="nl-NL"/>
        </w:rPr>
        <w:t xml:space="preserve"> </w:t>
      </w:r>
      <w:r w:rsidR="00337A5E" w:rsidRPr="0042741B">
        <w:rPr>
          <w:lang w:val="nl-NL"/>
        </w:rPr>
        <w:t xml:space="preserve">Pada penelitian ini pemeriksaan kadar asam urat dilakukan oleh petuga laboratorium sehingga peneliti tidak mengetahui jumlah serum yang digunakan sebagai bahan pemeriksaan. </w:t>
      </w:r>
      <w:r w:rsidR="00C779C6" w:rsidRPr="0042741B">
        <w:rPr>
          <w:lang w:val="nl-NL"/>
        </w:rPr>
        <w:t>Oleh karena itu penurunan kadar asam urat yang terjadi pada kelompok K(-) dan kelompok K(+) belum bisa diketahui penyebabnya secara pasti.</w:t>
      </w:r>
    </w:p>
    <w:p w14:paraId="598E401E" w14:textId="77777777" w:rsidR="00A11E3E" w:rsidRPr="00A11E3E" w:rsidRDefault="00A11E3E" w:rsidP="007D13A2">
      <w:pPr>
        <w:spacing w:line="276" w:lineRule="auto"/>
        <w:ind w:firstLine="567"/>
        <w:rPr>
          <w:lang w:val="id-ID"/>
        </w:rPr>
      </w:pPr>
      <w:r w:rsidRPr="00E10D93">
        <w:rPr>
          <w:lang w:val="id-ID"/>
        </w:rPr>
        <w:t xml:space="preserve">Kelompok </w:t>
      </w:r>
      <w:r>
        <w:rPr>
          <w:lang w:val="id-ID"/>
        </w:rPr>
        <w:t>P</w:t>
      </w:r>
      <w:r w:rsidRPr="00E10D93">
        <w:rPr>
          <w:lang w:val="id-ID"/>
        </w:rPr>
        <w:t xml:space="preserve"> memiliki persentase selisih kadar asam urat paling tinggi yaitu 70%. Hal tersebut disebabkan oleh pemberian minuman sinom yang mengandung vitamin C yang dapat membantu ekskresi asam urat. </w:t>
      </w:r>
      <w:r w:rsidRPr="009C1868">
        <w:t xml:space="preserve">Hal </w:t>
      </w:r>
      <w:proofErr w:type="spellStart"/>
      <w:r w:rsidRPr="009C1868">
        <w:t>ini</w:t>
      </w:r>
      <w:proofErr w:type="spellEnd"/>
      <w:r w:rsidRPr="009C1868">
        <w:t xml:space="preserve"> </w:t>
      </w:r>
      <w:proofErr w:type="spellStart"/>
      <w:r w:rsidRPr="009C1868">
        <w:t>sesuai</w:t>
      </w:r>
      <w:proofErr w:type="spellEnd"/>
      <w:r w:rsidRPr="009C1868">
        <w:t xml:space="preserve"> </w:t>
      </w:r>
      <w:proofErr w:type="spellStart"/>
      <w:r w:rsidRPr="009C1868">
        <w:t>dengan</w:t>
      </w:r>
      <w:proofErr w:type="spellEnd"/>
      <w:r w:rsidRPr="009C1868">
        <w:t xml:space="preserve"> </w:t>
      </w:r>
      <w:proofErr w:type="spellStart"/>
      <w:r w:rsidRPr="009C1868">
        <w:t>p</w:t>
      </w:r>
      <w:r w:rsidR="00B33648">
        <w:t>enelitian</w:t>
      </w:r>
      <w:proofErr w:type="spellEnd"/>
      <w:r w:rsidR="00B33648">
        <w:t xml:space="preserve"> </w:t>
      </w:r>
      <w:proofErr w:type="spellStart"/>
      <w:r w:rsidR="00B33648">
        <w:t>Mulyasari</w:t>
      </w:r>
      <w:proofErr w:type="spellEnd"/>
      <w:r>
        <w:t xml:space="preserve"> yang </w:t>
      </w:r>
      <w:proofErr w:type="spellStart"/>
      <w:r>
        <w:t>dilakukan</w:t>
      </w:r>
      <w:proofErr w:type="spellEnd"/>
      <w:r>
        <w:t xml:space="preserve"> pada manusia</w:t>
      </w:r>
      <w:r w:rsidR="00AA44A1">
        <w:t>.</w:t>
      </w:r>
      <w:r w:rsidR="00B33648" w:rsidRPr="00314B19">
        <w:fldChar w:fldCharType="begin" w:fldLock="1"/>
      </w:r>
      <w:r w:rsidR="00650E80">
        <w:instrText>ADDIN CSL_CITATION {"citationItems":[{"id":"ITEM-1","itemData":{"DOI":"10.14710/jnc.v4i3.10088","ISSN":"2337-6236","abstract":"Latar Belakang : Hiperurisemia terjadi pada wanita setelah menopause akibat adanya penurunan kadar estrogen. Protein hewani diyakini sebagai penyebab peningkatan kadar asam urat dalam darah, sedangkan asupan zat gizi seperti asam folat, vitamin C dan kalsium memiliki efek urikosurik. Konsumsi cairan yang cukup dapat menurunkan kadar asam urat darah dengan berfungsi sebagai media pembuangan asam urat.Tujuan : Penelitian ini bertujuan untuk menguji hubungan asupan zat gizi seperti protein, asam folat, vitamin C, kalsium dan cairan dengan kadar asam urat darah wanita postmenopause.Metode : Penelitian observasional dengan jenis penelitian deskriptif analitik menggunakan metode cross sectional pada wanita postmenopause di Kelurahan Ngemplak Simongan dan Bongsari Kota Semarang. Subjek sebanyak 68 orang didapatkan dengan cara random sampling. Data IMT didapatkan melalui pengukuran antropometri, data asupan protein, vitamin C, asam folat serta kalsium diperoleh melalui wawancara menggunakan Semi-Quantitatives Food Frequency Questionnaire. Recall 24 jam dilakukan untuk mengetahui asupan cairan. Metode kolorimetri digunakan untuk menganalisis kadar asam urat darah. Uji normalitas menggunakan Kolmogorov-Smirnov. Analisis bivariat menggunakan uji Korelasi, analisis multivariat menggunakan uji Regresi Linier Ganda.Hasil : Subjek hiperurisemia ditemukan sebanyak 8 orang (11,8%). Hampir keseluruhan asupan protein subjek lebih dari anjuran. Asupan asam folat dan vitamin C sebagian besar subjek cukup, sedangkan sebanyak 86,8% subjek memiliki asupan kalsium kurang. Asupan cairan sehari kurang dari 1500ml/hari ditemukan pada 57,4% subjek. Asupan protein hewani, vitamin C, kalsium dan cairan berhubungan dengan kadar asam urat darah (p &lt; 0,05). Sementara hasil analisis multivariat menunjukkan bahwa asupan protein hewani, vitamin C dan kalsium paling berpengaruh dengan kadar asam urat darah wanita postmenopause (Adjusted R Square = 0,298).Kesimpulan : Asupan protein hewani yang berlebih dan asupan vitamin C serta kalsium yang kurang, berhubungan dengan peningkatan kadar asam urat darah pada wanita postmenopause.","author":[{"dropping-particle":"","family":"Mulyasari","given":"Ade","non-dropping-particle":"","parse-names":false,"suffix":""},{"dropping-particle":"","family":"Dieny","given":"Fillah Fithra","non-dropping-particle":"","parse-names":false,"suffix":""}],"container-title":"Journal of Nutrition College","id":"ITEM-1","issue":"3","issued":{"date-parts":[["2015"]]},"page":"232-242","title":"Faktor Asupan Zat Gizi Yang Berhubungan Kadar Asam Urat Darah Wanita Postmenopause","type":"article-journal","volume":"4"},"uris":["http://www.mendeley.com/documents/?uuid=eb14e8a5-628d-49a9-b73d-1347615abc16"]}],"mendeley":{"formattedCitation":"&lt;sup&gt;27&lt;/sup&gt;","plainTextFormattedCitation":"27","previouslyFormattedCitation":"&lt;sup&gt;27&lt;/sup&gt;"},"properties":{"noteIndex":0},"schema":"https://github.com/citation-style-language/schema/raw/master/csl-citation.json"}</w:instrText>
      </w:r>
      <w:r w:rsidR="00B33648" w:rsidRPr="00314B19">
        <w:fldChar w:fldCharType="separate"/>
      </w:r>
      <w:r w:rsidR="004E5F0B" w:rsidRPr="004E5F0B">
        <w:rPr>
          <w:noProof/>
          <w:vertAlign w:val="superscript"/>
        </w:rPr>
        <w:t>27</w:t>
      </w:r>
      <w:r w:rsidR="00B33648" w:rsidRPr="00314B19">
        <w:fldChar w:fldCharType="end"/>
      </w:r>
      <w:r>
        <w:t xml:space="preserve"> Hasil </w:t>
      </w:r>
      <w:proofErr w:type="spellStart"/>
      <w:r>
        <w:t>penelitian</w:t>
      </w:r>
      <w:proofErr w:type="spellEnd"/>
      <w:r>
        <w:t xml:space="preserve"> </w:t>
      </w:r>
      <w:proofErr w:type="spellStart"/>
      <w:r>
        <w:t>tersebut</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subjek</w:t>
      </w:r>
      <w:proofErr w:type="spellEnd"/>
      <w:r>
        <w:t xml:space="preserve"> yang </w:t>
      </w:r>
      <w:proofErr w:type="spellStart"/>
      <w:r>
        <w:t>mengonsumsi</w:t>
      </w:r>
      <w:proofErr w:type="spellEnd"/>
      <w:r>
        <w:t xml:space="preserve"> vitamin C </w:t>
      </w:r>
      <w:proofErr w:type="spellStart"/>
      <w:r>
        <w:t>sebanyak</w:t>
      </w:r>
      <w:proofErr w:type="spellEnd"/>
      <w:r>
        <w:t xml:space="preserve"> ≥ 75 mg/</w:t>
      </w:r>
      <w:proofErr w:type="spellStart"/>
      <w:r>
        <w:t>hari</w:t>
      </w:r>
      <w:proofErr w:type="spellEnd"/>
      <w:r>
        <w:t xml:space="preserve"> </w:t>
      </w:r>
      <w:proofErr w:type="spellStart"/>
      <w:r>
        <w:t>memiliki</w:t>
      </w:r>
      <w:proofErr w:type="spellEnd"/>
      <w:r>
        <w:t xml:space="preserve"> </w:t>
      </w:r>
      <w:proofErr w:type="spellStart"/>
      <w:r>
        <w:t>pengaruh</w:t>
      </w:r>
      <w:proofErr w:type="spellEnd"/>
      <w:r>
        <w:t xml:space="preserve"> </w:t>
      </w:r>
      <w:proofErr w:type="spellStart"/>
      <w:r>
        <w:t>terhadap</w:t>
      </w:r>
      <w:proofErr w:type="spellEnd"/>
      <w:r>
        <w:t xml:space="preserve"> </w:t>
      </w:r>
      <w:proofErr w:type="spellStart"/>
      <w:r>
        <w:t>kadar</w:t>
      </w:r>
      <w:proofErr w:type="spellEnd"/>
      <w:r>
        <w:t xml:space="preserve"> </w:t>
      </w:r>
      <w:proofErr w:type="spellStart"/>
      <w:r>
        <w:t>asam</w:t>
      </w:r>
      <w:proofErr w:type="spellEnd"/>
      <w:r>
        <w:t xml:space="preserve"> </w:t>
      </w:r>
      <w:proofErr w:type="spellStart"/>
      <w:r>
        <w:t>urat</w:t>
      </w:r>
      <w:proofErr w:type="spellEnd"/>
      <w:r>
        <w:t xml:space="preserve">. </w:t>
      </w:r>
      <w:proofErr w:type="spellStart"/>
      <w:r>
        <w:t>Asupan</w:t>
      </w:r>
      <w:proofErr w:type="spellEnd"/>
      <w:r>
        <w:t xml:space="preserve"> vitamin C </w:t>
      </w:r>
      <w:proofErr w:type="spellStart"/>
      <w:r>
        <w:t>berhubungan</w:t>
      </w:r>
      <w:proofErr w:type="spellEnd"/>
      <w:r>
        <w:t xml:space="preserve"> </w:t>
      </w:r>
      <w:proofErr w:type="spellStart"/>
      <w:r>
        <w:t>negatif</w:t>
      </w:r>
      <w:proofErr w:type="spellEnd"/>
      <w:r>
        <w:t xml:space="preserve"> </w:t>
      </w:r>
      <w:proofErr w:type="spellStart"/>
      <w:r>
        <w:t>dengan</w:t>
      </w:r>
      <w:proofErr w:type="spellEnd"/>
      <w:r>
        <w:t xml:space="preserve"> </w:t>
      </w:r>
      <w:proofErr w:type="spellStart"/>
      <w:r>
        <w:t>kadar</w:t>
      </w:r>
      <w:proofErr w:type="spellEnd"/>
      <w:r>
        <w:t xml:space="preserve"> </w:t>
      </w:r>
      <w:proofErr w:type="spellStart"/>
      <w:r>
        <w:t>asam</w:t>
      </w:r>
      <w:proofErr w:type="spellEnd"/>
      <w:r>
        <w:t xml:space="preserve"> </w:t>
      </w:r>
      <w:proofErr w:type="spellStart"/>
      <w:r>
        <w:t>urat</w:t>
      </w:r>
      <w:proofErr w:type="spellEnd"/>
      <w:r>
        <w:t xml:space="preserve"> </w:t>
      </w:r>
      <w:proofErr w:type="spellStart"/>
      <w:r>
        <w:t>darah</w:t>
      </w:r>
      <w:proofErr w:type="spellEnd"/>
      <w:r>
        <w:t xml:space="preserve">. </w:t>
      </w:r>
      <w:proofErr w:type="spellStart"/>
      <w:r>
        <w:t>Artinya</w:t>
      </w:r>
      <w:proofErr w:type="spellEnd"/>
      <w:r>
        <w:t xml:space="preserve"> </w:t>
      </w:r>
      <w:proofErr w:type="spellStart"/>
      <w:r>
        <w:t>asupan</w:t>
      </w:r>
      <w:proofErr w:type="spellEnd"/>
      <w:r>
        <w:t xml:space="preserve"> vitamin C </w:t>
      </w:r>
      <w:proofErr w:type="spellStart"/>
      <w:r>
        <w:t>dapat</w:t>
      </w:r>
      <w:proofErr w:type="spellEnd"/>
      <w:r>
        <w:t xml:space="preserve"> </w:t>
      </w:r>
      <w:proofErr w:type="spellStart"/>
      <w:r>
        <w:t>menurunkan</w:t>
      </w:r>
      <w:proofErr w:type="spellEnd"/>
      <w:r>
        <w:t xml:space="preserve"> </w:t>
      </w:r>
      <w:proofErr w:type="spellStart"/>
      <w:r>
        <w:t>kadar</w:t>
      </w:r>
      <w:proofErr w:type="spellEnd"/>
      <w:r>
        <w:t xml:space="preserve"> </w:t>
      </w:r>
      <w:proofErr w:type="spellStart"/>
      <w:r>
        <w:t>asam</w:t>
      </w:r>
      <w:proofErr w:type="spellEnd"/>
      <w:r>
        <w:t xml:space="preserve"> </w:t>
      </w:r>
      <w:proofErr w:type="spellStart"/>
      <w:r>
        <w:t>urat</w:t>
      </w:r>
      <w:proofErr w:type="spellEnd"/>
      <w:r>
        <w:t xml:space="preserve"> darah.</w:t>
      </w:r>
      <w:r w:rsidR="00B229C1">
        <w:fldChar w:fldCharType="begin" w:fldLock="1"/>
      </w:r>
      <w:r w:rsidR="00650E80">
        <w:instrText>ADDIN CSL_CITATION {"citationItems":[{"id":"ITEM-1","itemData":{"DOI":"10.14710/jnc.v4i3.10088","ISSN":"2337-6236","abstract":"Latar Belakang : Hiperurisemia terjadi pada wanita setelah menopause akibat adanya penurunan kadar estrogen. Protein hewani diyakini sebagai penyebab peningkatan kadar asam urat dalam darah, sedangkan asupan zat gizi seperti asam folat, vitamin C dan kalsium memiliki efek urikosurik. Konsumsi cairan yang cukup dapat menurunkan kadar asam urat darah dengan berfungsi sebagai media pembuangan asam urat.Tujuan : Penelitian ini bertujuan untuk menguji hubungan asupan zat gizi seperti protein, asam folat, vitamin C, kalsium dan cairan dengan kadar asam urat darah wanita postmenopause.Metode : Penelitian observasional dengan jenis penelitian deskriptif analitik menggunakan metode cross sectional pada wanita postmenopause di Kelurahan Ngemplak Simongan dan Bongsari Kota Semarang. Subjek sebanyak 68 orang didapatkan dengan cara random sampling. Data IMT didapatkan melalui pengukuran antropometri, data asupan protein, vitamin C, asam folat serta kalsium diperoleh melalui wawancara menggunakan Semi-Quantitatives Food Frequency Questionnaire. Recall 24 jam dilakukan untuk mengetahui asupan cairan. Metode kolorimetri digunakan untuk menganalisis kadar asam urat darah. Uji normalitas menggunakan Kolmogorov-Smirnov. Analisis bivariat menggunakan uji Korelasi, analisis multivariat menggunakan uji Regresi Linier Ganda.Hasil : Subjek hiperurisemia ditemukan sebanyak 8 orang (11,8%). Hampir keseluruhan asupan protein subjek lebih dari anjuran. Asupan asam folat dan vitamin C sebagian besar subjek cukup, sedangkan sebanyak 86,8% subjek memiliki asupan kalsium kurang. Asupan cairan sehari kurang dari 1500ml/hari ditemukan pada 57,4% subjek. Asupan protein hewani, vitamin C, kalsium dan cairan berhubungan dengan kadar asam urat darah (p &lt; 0,05). Sementara hasil analisis multivariat menunjukkan bahwa asupan protein hewani, vitamin C dan kalsium paling berpengaruh dengan kadar asam urat darah wanita postmenopause (Adjusted R Square = 0,298).Kesimpulan : Asupan protein hewani yang berlebih dan asupan vitamin C serta kalsium yang kurang, berhubungan dengan peningkatan kadar asam urat darah pada wanita postmenopause.","author":[{"dropping-particle":"","family":"Mulyasari","given":"Ade","non-dropping-particle":"","parse-names":false,"suffix":""},{"dropping-particle":"","family":"Dieny","given":"Fillah Fithra","non-dropping-particle":"","parse-names":false,"suffix":""}],"container-title":"Journal of Nutrition College","id":"ITEM-1","issue":"3","issued":{"date-parts":[["2015"]]},"page":"232-242","title":"Faktor Asupan Zat Gizi Yang Berhubungan Kadar Asam Urat Darah Wanita Postmenopause","type":"article-journal","volume":"4"},"uris":["http://www.mendeley.com/documents/?uuid=eb14e8a5-628d-49a9-b73d-1347615abc16"]}],"mendeley":{"formattedCitation":"&lt;sup&gt;27&lt;/sup&gt;","plainTextFormattedCitation":"27","previouslyFormattedCitation":"&lt;sup&gt;27&lt;/sup&gt;"},"properties":{"noteIndex":0},"schema":"https://github.com/citation-style-language/schema/raw/master/csl-citation.json"}</w:instrText>
      </w:r>
      <w:r w:rsidR="00B229C1">
        <w:fldChar w:fldCharType="separate"/>
      </w:r>
      <w:r w:rsidR="004E5F0B" w:rsidRPr="004E5F0B">
        <w:rPr>
          <w:noProof/>
          <w:vertAlign w:val="superscript"/>
        </w:rPr>
        <w:t>27</w:t>
      </w:r>
      <w:r w:rsidR="00B229C1">
        <w:fldChar w:fldCharType="end"/>
      </w:r>
    </w:p>
    <w:p w14:paraId="413E9B96" w14:textId="77777777" w:rsidR="00ED0C74" w:rsidRDefault="00A11E3E" w:rsidP="00C42BCB">
      <w:pPr>
        <w:spacing w:after="120" w:line="276" w:lineRule="auto"/>
        <w:ind w:firstLine="567"/>
        <w:rPr>
          <w:szCs w:val="23"/>
          <w:lang w:val="id-ID"/>
        </w:rPr>
      </w:pPr>
      <w:r w:rsidRPr="00C74B83">
        <w:rPr>
          <w:lang w:val="id-ID"/>
        </w:rPr>
        <w:t>Vitamin C atau askorbat merupakan salah satu vitamin larut air yang berperan sebagai antioksidan dan dapat meningkatkan daya tah</w:t>
      </w:r>
      <w:r w:rsidR="00AA44A1">
        <w:rPr>
          <w:lang w:val="id-ID"/>
        </w:rPr>
        <w:t>an tubuh.</w:t>
      </w:r>
      <w:r w:rsidR="00B33648" w:rsidRPr="00314B19">
        <w:rPr>
          <w:lang w:val="id-ID"/>
        </w:rPr>
        <w:fldChar w:fldCharType="begin" w:fldLock="1"/>
      </w:r>
      <w:r w:rsidR="00650E80">
        <w:rPr>
          <w:lang w:val="id-ID"/>
        </w:rPr>
        <w:instrText>ADDIN CSL_CITATION {"citationItems":[{"id":"ITEM-1","itemData":{"author":[{"dropping-particle":"","family":"Tim Bumi Medika","given":"","non-dropping-particle":"","parse-names":false,"suffix":""}],"edition":"1","editor":[{"dropping-particle":"","family":"Sari","given":"Y. N. I.","non-dropping-particle":"","parse-names":false,"suffix":""},{"dropping-particle":"","family":"Syamsiyah","given":"N.","non-dropping-particle":"","parse-names":false,"suffix":""}],"id":"ITEM-1","issued":{"date-parts":[["2017"]]},"publisher":"Bumi Medika","publisher-place":"Jakarta","title":"Berdamai dengan Asam Urat","type":"book"},"uris":["http://www.mendeley.com/documents/?uuid=2594336a-7f18-485f-80e1-076703046f7d"]}],"mendeley":{"formattedCitation":"&lt;sup&gt;2&lt;/sup&gt;","plainTextFormattedCitation":"2","previouslyFormattedCitation":"&lt;sup&gt;2&lt;/sup&gt;"},"properties":{"noteIndex":0},"schema":"https://github.com/citation-style-language/schema/raw/master/csl-citation.json"}</w:instrText>
      </w:r>
      <w:r w:rsidR="00B33648" w:rsidRPr="00314B19">
        <w:rPr>
          <w:lang w:val="id-ID"/>
        </w:rPr>
        <w:fldChar w:fldCharType="separate"/>
      </w:r>
      <w:r w:rsidR="004E5F0B" w:rsidRPr="004E5F0B">
        <w:rPr>
          <w:noProof/>
          <w:vertAlign w:val="superscript"/>
          <w:lang w:val="id-ID"/>
        </w:rPr>
        <w:t>2</w:t>
      </w:r>
      <w:r w:rsidR="00B33648" w:rsidRPr="00314B19">
        <w:rPr>
          <w:lang w:val="id-ID"/>
        </w:rPr>
        <w:fldChar w:fldCharType="end"/>
      </w:r>
      <w:r w:rsidRPr="00C74B83">
        <w:rPr>
          <w:lang w:val="id-ID"/>
        </w:rPr>
        <w:t xml:space="preserve"> </w:t>
      </w:r>
      <w:r w:rsidRPr="00AA44A1">
        <w:rPr>
          <w:lang w:val="id-ID"/>
        </w:rPr>
        <w:t xml:space="preserve">Vitamin C juga merupakan mikronutrien yang berperan dalam berbagai reaksi yaitu enzimatik dan non enzimatik. </w:t>
      </w:r>
      <w:r w:rsidRPr="004A23E7">
        <w:rPr>
          <w:lang w:val="id-ID"/>
        </w:rPr>
        <w:t xml:space="preserve">Vitamin C memiliki sifat </w:t>
      </w:r>
      <w:r w:rsidRPr="004A23E7">
        <w:rPr>
          <w:i/>
          <w:lang w:val="id-ID"/>
        </w:rPr>
        <w:t>urikosurik</w:t>
      </w:r>
      <w:r w:rsidRPr="004A23E7">
        <w:rPr>
          <w:lang w:val="id-ID"/>
        </w:rPr>
        <w:t xml:space="preserve"> atau penekanan asam urat. Vitamin C dapat mempercepat kerja ginjal dengan </w:t>
      </w:r>
      <w:r w:rsidRPr="004A23E7">
        <w:rPr>
          <w:szCs w:val="23"/>
          <w:lang w:val="id-ID"/>
        </w:rPr>
        <w:t>meningkatkan kebersihan ginjal dari asam urat yang telah difiltrasi dan mengurangi penyimpanan asam urat dalam tubuh.</w:t>
      </w:r>
      <w:r w:rsidRPr="004A23E7">
        <w:rPr>
          <w:lang w:val="id-ID"/>
        </w:rPr>
        <w:t xml:space="preserve"> Selanjutnya vitamin C akan menghambat reabsorbsi asam urat di tubulus ginjal </w:t>
      </w:r>
      <w:r w:rsidRPr="004A23E7">
        <w:rPr>
          <w:szCs w:val="23"/>
          <w:lang w:val="id-ID"/>
        </w:rPr>
        <w:t xml:space="preserve">sehingga ekskresi asam urat melalui ginjal meningkat dan kadar asam urat dalam darah akan </w:t>
      </w:r>
      <w:r w:rsidR="00C83390" w:rsidRPr="004A23E7">
        <w:rPr>
          <w:szCs w:val="23"/>
          <w:lang w:val="id-ID"/>
        </w:rPr>
        <w:t>menurun.</w:t>
      </w:r>
      <w:r w:rsidR="009550DA" w:rsidRPr="00314B19">
        <w:rPr>
          <w:szCs w:val="23"/>
          <w:lang w:val="nl-NL"/>
        </w:rPr>
        <w:fldChar w:fldCharType="begin" w:fldLock="1"/>
      </w:r>
      <w:r w:rsidR="00650E80">
        <w:rPr>
          <w:szCs w:val="23"/>
          <w:lang w:val="id-ID"/>
        </w:rPr>
        <w:instrText>ADDIN CSL_CITATION {"citationItems":[{"id":"ITEM-1","itemData":{"author":[{"dropping-particle":"","family":"Raka","given":"P.","non-dropping-particle":"","parse-names":false,"suffix":""},{"dropping-particle":"","family":"Tjokorda.","given":"","non-dropping-particle":"","parse-names":false,"suffix":""}],"edition":"5 jilid II","id":"ITEM-1","issued":{"date-parts":[["2009"]]},"publisher":"Pusat Penerbitan Departemen Ilmu Penyakit Dalam Fakultas Kedokteran Universitas Indonesia","publisher-place":"Jakarta","title":"Hiperurisemia. Buku Ajar Ilmu Penyakit Dalam","type":"book"},"uris":["http://www.mendeley.com/documents/?uuid=911d69d5-6bc5-4def-bc88-9217d4eaa1fb"]}],"mendeley":{"formattedCitation":"&lt;sup&gt;28&lt;/sup&gt;","plainTextFormattedCitation":"28","previouslyFormattedCitation":"&lt;sup&gt;28&lt;/sup&gt;"},"properties":{"noteIndex":0},"schema":"https://github.com/citation-style-language/schema/raw/master/csl-citation.json"}</w:instrText>
      </w:r>
      <w:r w:rsidR="009550DA" w:rsidRPr="00314B19">
        <w:rPr>
          <w:szCs w:val="23"/>
          <w:lang w:val="nl-NL"/>
        </w:rPr>
        <w:fldChar w:fldCharType="separate"/>
      </w:r>
      <w:r w:rsidR="004E5F0B" w:rsidRPr="004E5F0B">
        <w:rPr>
          <w:noProof/>
          <w:szCs w:val="23"/>
          <w:vertAlign w:val="superscript"/>
          <w:lang w:val="nl-NL"/>
        </w:rPr>
        <w:t>28</w:t>
      </w:r>
      <w:r w:rsidR="009550DA" w:rsidRPr="00314B19">
        <w:rPr>
          <w:szCs w:val="23"/>
          <w:lang w:val="nl-NL"/>
        </w:rPr>
        <w:fldChar w:fldCharType="end"/>
      </w:r>
    </w:p>
    <w:p w14:paraId="19E3976C" w14:textId="77777777" w:rsidR="00194494" w:rsidRDefault="00194494" w:rsidP="007D13A2">
      <w:pPr>
        <w:spacing w:line="276" w:lineRule="auto"/>
        <w:rPr>
          <w:szCs w:val="23"/>
          <w:lang w:val="id-ID"/>
        </w:rPr>
      </w:pPr>
    </w:p>
    <w:p w14:paraId="4B34BA1D" w14:textId="77777777" w:rsidR="00161326" w:rsidRDefault="00161326" w:rsidP="007D13A2">
      <w:pPr>
        <w:pStyle w:val="ListParagraph"/>
        <w:numPr>
          <w:ilvl w:val="0"/>
          <w:numId w:val="5"/>
        </w:numPr>
        <w:spacing w:after="0" w:line="276" w:lineRule="auto"/>
        <w:ind w:left="426" w:hanging="426"/>
        <w:rPr>
          <w:b/>
          <w:sz w:val="22"/>
        </w:rPr>
      </w:pPr>
      <w:r w:rsidRPr="0048388F">
        <w:rPr>
          <w:b/>
          <w:sz w:val="22"/>
        </w:rPr>
        <w:t>SIMPULAN DAN SARAN</w:t>
      </w:r>
    </w:p>
    <w:p w14:paraId="40D4C6FF" w14:textId="77777777" w:rsidR="00575380" w:rsidRPr="0042741B" w:rsidRDefault="004D7C28" w:rsidP="004D7C28">
      <w:pPr>
        <w:spacing w:line="276" w:lineRule="auto"/>
        <w:ind w:firstLine="567"/>
        <w:rPr>
          <w:lang w:val="id-ID" w:bidi="en-US"/>
        </w:rPr>
      </w:pPr>
      <w:r w:rsidRPr="0042741B">
        <w:rPr>
          <w:lang w:val="id-ID" w:bidi="en-US"/>
        </w:rPr>
        <w:t xml:space="preserve">Pemberian minuman sinom berpotensi dalam menurunkan </w:t>
      </w:r>
      <w:r w:rsidR="00575380" w:rsidRPr="0042741B">
        <w:rPr>
          <w:lang w:val="id-ID" w:bidi="en-US"/>
        </w:rPr>
        <w:t>kadar asa</w:t>
      </w:r>
      <w:r w:rsidRPr="0042741B">
        <w:rPr>
          <w:lang w:val="id-ID" w:bidi="en-US"/>
        </w:rPr>
        <w:t xml:space="preserve">m urat tikus putih dengan dosis 6 ml/200 gBB/hari </w:t>
      </w:r>
      <w:r w:rsidR="00A378D5" w:rsidRPr="0042741B">
        <w:rPr>
          <w:lang w:val="id-ID" w:bidi="en-US"/>
        </w:rPr>
        <w:t xml:space="preserve">selama 14 hari </w:t>
      </w:r>
      <w:r w:rsidRPr="0042741B">
        <w:rPr>
          <w:lang w:val="id-ID" w:bidi="en-US"/>
        </w:rPr>
        <w:t xml:space="preserve">secara signifikan (p = </w:t>
      </w:r>
      <w:r w:rsidR="00F868E8" w:rsidRPr="0042741B">
        <w:rPr>
          <w:lang w:val="id-ID" w:bidi="en-US"/>
        </w:rPr>
        <w:t>0,000).</w:t>
      </w:r>
    </w:p>
    <w:p w14:paraId="3DE30405" w14:textId="77777777" w:rsidR="003C41D6" w:rsidRDefault="00D87829" w:rsidP="00464F72">
      <w:pPr>
        <w:spacing w:after="120" w:line="276" w:lineRule="auto"/>
        <w:ind w:firstLine="567"/>
        <w:rPr>
          <w:lang w:val="en-GB"/>
        </w:rPr>
      </w:pPr>
      <w:r w:rsidRPr="0042741B">
        <w:rPr>
          <w:lang w:val="id-ID"/>
        </w:rPr>
        <w:t>Perlu penelitian lebih lanjut mengenai potensi minuman sinom terhadap perubahan kadar asam urat dengan mem</w:t>
      </w:r>
      <w:r w:rsidR="00F868E8" w:rsidRPr="0042741B">
        <w:rPr>
          <w:lang w:val="id-ID"/>
        </w:rPr>
        <w:t>perhatikan fakt</w:t>
      </w:r>
      <w:r w:rsidR="0049742B">
        <w:rPr>
          <w:lang w:val="id-ID"/>
        </w:rPr>
        <w:t xml:space="preserve">or-faktor yang dapat </w:t>
      </w:r>
      <w:proofErr w:type="spellStart"/>
      <w:r w:rsidR="0049742B">
        <w:rPr>
          <w:lang w:val="en-GB"/>
        </w:rPr>
        <w:t>mempengaruhi</w:t>
      </w:r>
      <w:proofErr w:type="spellEnd"/>
      <w:r w:rsidRPr="0042741B">
        <w:rPr>
          <w:lang w:val="id-ID"/>
        </w:rPr>
        <w:t xml:space="preserve">, karena pada penelitian ini </w:t>
      </w:r>
      <w:r w:rsidR="00F868E8" w:rsidRPr="0042741B">
        <w:rPr>
          <w:lang w:val="id-ID"/>
        </w:rPr>
        <w:t>terjadi penurunan kadar asam urat kelompok K(-) dan kelompok K(+) yang belum bisa diketahui penyebabnya secara pasti.</w:t>
      </w:r>
    </w:p>
    <w:p w14:paraId="491E166C" w14:textId="77777777" w:rsidR="002575C9" w:rsidRPr="002575C9" w:rsidRDefault="002575C9" w:rsidP="00464F72">
      <w:pPr>
        <w:spacing w:after="120" w:line="276" w:lineRule="auto"/>
        <w:ind w:firstLine="567"/>
        <w:rPr>
          <w:lang w:val="en-GB"/>
        </w:rPr>
      </w:pPr>
    </w:p>
    <w:p w14:paraId="224F0893" w14:textId="77777777" w:rsidR="003C6F7D" w:rsidRPr="00BA472B" w:rsidRDefault="00161326" w:rsidP="007D13A2">
      <w:pPr>
        <w:spacing w:line="276" w:lineRule="auto"/>
        <w:rPr>
          <w:b/>
          <w:lang w:val="id-ID"/>
        </w:rPr>
      </w:pPr>
      <w:r w:rsidRPr="00BA472B">
        <w:rPr>
          <w:b/>
          <w:lang w:val="id-ID"/>
        </w:rPr>
        <w:lastRenderedPageBreak/>
        <w:t>REFERENSI</w:t>
      </w:r>
    </w:p>
    <w:p w14:paraId="4D08B2FD" w14:textId="77777777" w:rsidR="003C6F7D" w:rsidRPr="00C74B83" w:rsidRDefault="003C6F7D" w:rsidP="00345C16">
      <w:pPr>
        <w:spacing w:line="276" w:lineRule="auto"/>
        <w:ind w:left="540" w:hanging="540"/>
        <w:rPr>
          <w:lang w:val="id-ID"/>
        </w:rPr>
      </w:pPr>
    </w:p>
    <w:p w14:paraId="61C7679A" w14:textId="39082845" w:rsidR="00650E80" w:rsidRPr="00650E80" w:rsidRDefault="00650E80" w:rsidP="006730AF">
      <w:pPr>
        <w:widowControl w:val="0"/>
        <w:autoSpaceDE w:val="0"/>
        <w:autoSpaceDN w:val="0"/>
        <w:adjustRightInd w:val="0"/>
        <w:spacing w:line="276" w:lineRule="auto"/>
        <w:ind w:left="426" w:hanging="426"/>
        <w:rPr>
          <w:noProof/>
          <w:szCs w:val="24"/>
        </w:rPr>
      </w:pPr>
      <w:r>
        <w:rPr>
          <w:lang w:val="id-ID"/>
        </w:rPr>
        <w:fldChar w:fldCharType="begin" w:fldLock="1"/>
      </w:r>
      <w:r>
        <w:rPr>
          <w:lang w:val="id-ID"/>
        </w:rPr>
        <w:instrText xml:space="preserve">ADDIN Mendeley Bibliography CSL_BIBLIOGRAPHY </w:instrText>
      </w:r>
      <w:r>
        <w:rPr>
          <w:lang w:val="id-ID"/>
        </w:rPr>
        <w:fldChar w:fldCharType="separate"/>
      </w:r>
      <w:r w:rsidRPr="001A6C7A">
        <w:rPr>
          <w:noProof/>
          <w:szCs w:val="24"/>
          <w:lang w:val="nl-NL"/>
        </w:rPr>
        <w:t xml:space="preserve">1. </w:t>
      </w:r>
      <w:r w:rsidRPr="001A6C7A">
        <w:rPr>
          <w:noProof/>
          <w:szCs w:val="24"/>
          <w:lang w:val="nl-NL"/>
        </w:rPr>
        <w:tab/>
        <w:t xml:space="preserve">Norr Z. Buku </w:t>
      </w:r>
      <w:r w:rsidR="00EC62EA" w:rsidRPr="001A6C7A">
        <w:rPr>
          <w:noProof/>
          <w:szCs w:val="24"/>
          <w:lang w:val="nl-NL"/>
        </w:rPr>
        <w:t>ajar gangguan muskuloskeletal</w:t>
      </w:r>
      <w:r w:rsidRPr="001A6C7A">
        <w:rPr>
          <w:noProof/>
          <w:szCs w:val="24"/>
          <w:lang w:val="nl-NL"/>
        </w:rPr>
        <w:t xml:space="preserve">. </w:t>
      </w:r>
      <w:r w:rsidRPr="00650E80">
        <w:rPr>
          <w:noProof/>
          <w:szCs w:val="24"/>
        </w:rPr>
        <w:t xml:space="preserve">2nd ed. Lestari PP, editor. Jakarta: Salemba Medika; 2016. </w:t>
      </w:r>
    </w:p>
    <w:p w14:paraId="39DE7B07" w14:textId="479CAD25" w:rsidR="00650E80" w:rsidRPr="00650E80" w:rsidRDefault="00650E80" w:rsidP="006730AF">
      <w:pPr>
        <w:widowControl w:val="0"/>
        <w:autoSpaceDE w:val="0"/>
        <w:autoSpaceDN w:val="0"/>
        <w:adjustRightInd w:val="0"/>
        <w:spacing w:line="276" w:lineRule="auto"/>
        <w:ind w:left="426" w:hanging="426"/>
        <w:rPr>
          <w:noProof/>
          <w:szCs w:val="24"/>
        </w:rPr>
      </w:pPr>
      <w:r w:rsidRPr="00650E80">
        <w:rPr>
          <w:noProof/>
          <w:szCs w:val="24"/>
        </w:rPr>
        <w:t xml:space="preserve">2. </w:t>
      </w:r>
      <w:r w:rsidRPr="00650E80">
        <w:rPr>
          <w:noProof/>
          <w:szCs w:val="24"/>
        </w:rPr>
        <w:tab/>
        <w:t xml:space="preserve">Tim Bumi Medika. </w:t>
      </w:r>
      <w:r w:rsidR="00EC62EA" w:rsidRPr="00650E80">
        <w:rPr>
          <w:noProof/>
          <w:szCs w:val="24"/>
        </w:rPr>
        <w:t>Berdamai dengan asam urat</w:t>
      </w:r>
      <w:r w:rsidRPr="00650E80">
        <w:rPr>
          <w:noProof/>
          <w:szCs w:val="24"/>
        </w:rPr>
        <w:t xml:space="preserve">. 1st ed. Sari YNI, Syamsiyah N, editors. Jakarta: Bumi Medika; 2017. </w:t>
      </w:r>
    </w:p>
    <w:p w14:paraId="27228D97" w14:textId="06DF4605" w:rsidR="00650E80" w:rsidRPr="00650E80" w:rsidRDefault="00650E80" w:rsidP="006730AF">
      <w:pPr>
        <w:widowControl w:val="0"/>
        <w:autoSpaceDE w:val="0"/>
        <w:autoSpaceDN w:val="0"/>
        <w:adjustRightInd w:val="0"/>
        <w:spacing w:line="276" w:lineRule="auto"/>
        <w:ind w:left="426" w:hanging="426"/>
        <w:rPr>
          <w:noProof/>
          <w:szCs w:val="24"/>
        </w:rPr>
      </w:pPr>
      <w:r w:rsidRPr="00650E80">
        <w:rPr>
          <w:noProof/>
          <w:szCs w:val="24"/>
        </w:rPr>
        <w:t xml:space="preserve">3. </w:t>
      </w:r>
      <w:r w:rsidRPr="00650E80">
        <w:rPr>
          <w:noProof/>
          <w:szCs w:val="24"/>
        </w:rPr>
        <w:tab/>
        <w:t xml:space="preserve">Kemenkes RI. Hasil </w:t>
      </w:r>
      <w:r w:rsidR="00350523" w:rsidRPr="00650E80">
        <w:rPr>
          <w:noProof/>
          <w:szCs w:val="24"/>
        </w:rPr>
        <w:t>riset kesehatan dasar t</w:t>
      </w:r>
      <w:r w:rsidRPr="00650E80">
        <w:rPr>
          <w:noProof/>
          <w:szCs w:val="24"/>
        </w:rPr>
        <w:t>ahun 2018 [Internet]. Vol. 53,</w:t>
      </w:r>
      <w:r>
        <w:rPr>
          <w:noProof/>
          <w:szCs w:val="24"/>
        </w:rPr>
        <w:t xml:space="preserve"> Kementrian Kesehatan RI. 2019.</w:t>
      </w:r>
      <w:r>
        <w:t> </w:t>
      </w:r>
      <w:r>
        <w:rPr>
          <w:noProof/>
          <w:szCs w:val="24"/>
        </w:rPr>
        <w:t>p. </w:t>
      </w:r>
      <w:r w:rsidRPr="00650E80">
        <w:rPr>
          <w:noProof/>
          <w:szCs w:val="24"/>
        </w:rPr>
        <w:t>1689–</w:t>
      </w:r>
      <w:r>
        <w:rPr>
          <w:noProof/>
          <w:szCs w:val="24"/>
        </w:rPr>
        <w:t>99. Available </w:t>
      </w:r>
      <w:r w:rsidRPr="00650E80">
        <w:rPr>
          <w:noProof/>
          <w:szCs w:val="24"/>
        </w:rPr>
        <w:t>from: https://kesmas.kemkes.go.id/assets/upload/dir_519d41d8cd98f00/files/Hasil-riskesdas-2018_1274.pdf</w:t>
      </w:r>
    </w:p>
    <w:p w14:paraId="739EAFB8" w14:textId="55D4BCBD" w:rsidR="00650E80" w:rsidRPr="00650E80" w:rsidRDefault="00650E80" w:rsidP="006730AF">
      <w:pPr>
        <w:widowControl w:val="0"/>
        <w:autoSpaceDE w:val="0"/>
        <w:autoSpaceDN w:val="0"/>
        <w:adjustRightInd w:val="0"/>
        <w:spacing w:line="276" w:lineRule="auto"/>
        <w:ind w:left="426" w:hanging="426"/>
        <w:rPr>
          <w:noProof/>
          <w:szCs w:val="24"/>
        </w:rPr>
      </w:pPr>
      <w:r w:rsidRPr="00650E80">
        <w:rPr>
          <w:noProof/>
          <w:szCs w:val="24"/>
        </w:rPr>
        <w:t xml:space="preserve">4. </w:t>
      </w:r>
      <w:r w:rsidRPr="00650E80">
        <w:rPr>
          <w:noProof/>
          <w:szCs w:val="24"/>
        </w:rPr>
        <w:tab/>
        <w:t xml:space="preserve">Yenrina R, Krisnatuti D, Rasjmida D. </w:t>
      </w:r>
      <w:r w:rsidR="00EC62EA">
        <w:rPr>
          <w:noProof/>
          <w:szCs w:val="24"/>
        </w:rPr>
        <w:t>D</w:t>
      </w:r>
      <w:r w:rsidR="00EC62EA" w:rsidRPr="00650E80">
        <w:rPr>
          <w:noProof/>
          <w:szCs w:val="24"/>
        </w:rPr>
        <w:t>iet sehat untuk penderita asam urat</w:t>
      </w:r>
      <w:r w:rsidRPr="00650E80">
        <w:rPr>
          <w:noProof/>
          <w:szCs w:val="24"/>
        </w:rPr>
        <w:t xml:space="preserve">. 1st ed. Jakarta: Penebar Swadaya; 2014. </w:t>
      </w:r>
    </w:p>
    <w:p w14:paraId="29C82C31" w14:textId="5F24ED9F" w:rsidR="00650E80" w:rsidRPr="00650E80" w:rsidRDefault="00650E80" w:rsidP="006730AF">
      <w:pPr>
        <w:widowControl w:val="0"/>
        <w:autoSpaceDE w:val="0"/>
        <w:autoSpaceDN w:val="0"/>
        <w:adjustRightInd w:val="0"/>
        <w:spacing w:line="276" w:lineRule="auto"/>
        <w:ind w:left="426" w:hanging="426"/>
        <w:rPr>
          <w:noProof/>
          <w:szCs w:val="24"/>
        </w:rPr>
      </w:pPr>
      <w:r w:rsidRPr="00650E80">
        <w:rPr>
          <w:noProof/>
          <w:szCs w:val="24"/>
        </w:rPr>
        <w:t xml:space="preserve">5. </w:t>
      </w:r>
      <w:r w:rsidRPr="00650E80">
        <w:rPr>
          <w:noProof/>
          <w:szCs w:val="24"/>
        </w:rPr>
        <w:tab/>
        <w:t xml:space="preserve">Sukini. Jamu </w:t>
      </w:r>
      <w:r w:rsidR="00EC62EA" w:rsidRPr="00650E80">
        <w:rPr>
          <w:noProof/>
          <w:szCs w:val="24"/>
        </w:rPr>
        <w:t>gendong solusi sehat tanpa obat</w:t>
      </w:r>
      <w:r w:rsidRPr="00650E80">
        <w:rPr>
          <w:noProof/>
          <w:szCs w:val="24"/>
        </w:rPr>
        <w:t xml:space="preserve">. 2018. 6–7 p. </w:t>
      </w:r>
    </w:p>
    <w:p w14:paraId="7F54217F" w14:textId="52488E92" w:rsidR="00650E80" w:rsidRPr="00650E80" w:rsidRDefault="00650E80" w:rsidP="006730AF">
      <w:pPr>
        <w:widowControl w:val="0"/>
        <w:autoSpaceDE w:val="0"/>
        <w:autoSpaceDN w:val="0"/>
        <w:adjustRightInd w:val="0"/>
        <w:spacing w:line="276" w:lineRule="auto"/>
        <w:ind w:left="426" w:hanging="426"/>
        <w:rPr>
          <w:noProof/>
          <w:szCs w:val="24"/>
        </w:rPr>
      </w:pPr>
      <w:r w:rsidRPr="00650E80">
        <w:rPr>
          <w:noProof/>
          <w:szCs w:val="24"/>
        </w:rPr>
        <w:t xml:space="preserve">6. </w:t>
      </w:r>
      <w:r w:rsidRPr="00650E80">
        <w:rPr>
          <w:noProof/>
          <w:szCs w:val="24"/>
        </w:rPr>
        <w:tab/>
        <w:t xml:space="preserve">Widari IAA, Mulyani S, Admadi H B. Kunyit </w:t>
      </w:r>
      <w:r w:rsidR="00D60A93" w:rsidRPr="00650E80">
        <w:rPr>
          <w:noProof/>
          <w:szCs w:val="24"/>
        </w:rPr>
        <w:t>asam and sinom beverages inhibition with ?-glucosidase enzyme activity</w:t>
      </w:r>
      <w:r w:rsidRPr="00650E80">
        <w:rPr>
          <w:noProof/>
          <w:szCs w:val="24"/>
        </w:rPr>
        <w:t xml:space="preserve">. J Rekayasa Dan Manaj Agroindustri. 2014;2(2):26–35. </w:t>
      </w:r>
    </w:p>
    <w:p w14:paraId="59961333" w14:textId="3D049019" w:rsidR="00650E80" w:rsidRPr="00650E80" w:rsidRDefault="00650E80" w:rsidP="006730AF">
      <w:pPr>
        <w:widowControl w:val="0"/>
        <w:autoSpaceDE w:val="0"/>
        <w:autoSpaceDN w:val="0"/>
        <w:adjustRightInd w:val="0"/>
        <w:spacing w:line="276" w:lineRule="auto"/>
        <w:ind w:left="426" w:hanging="426"/>
        <w:rPr>
          <w:noProof/>
          <w:szCs w:val="24"/>
        </w:rPr>
      </w:pPr>
      <w:r w:rsidRPr="00650E80">
        <w:rPr>
          <w:noProof/>
          <w:szCs w:val="24"/>
        </w:rPr>
        <w:t xml:space="preserve">7. </w:t>
      </w:r>
      <w:r w:rsidRPr="00650E80">
        <w:rPr>
          <w:noProof/>
          <w:szCs w:val="24"/>
        </w:rPr>
        <w:tab/>
        <w:t xml:space="preserve">Informasi Kefarmasian dan Alat Kesehatan (Infarkes). Bugar dengan </w:t>
      </w:r>
      <w:r w:rsidR="00D60A93">
        <w:rPr>
          <w:noProof/>
          <w:szCs w:val="24"/>
        </w:rPr>
        <w:t>j</w:t>
      </w:r>
      <w:r w:rsidRPr="00650E80">
        <w:rPr>
          <w:noProof/>
          <w:szCs w:val="24"/>
        </w:rPr>
        <w:t>amu [</w:t>
      </w:r>
      <w:r w:rsidR="001A6C7A">
        <w:rPr>
          <w:noProof/>
          <w:szCs w:val="24"/>
        </w:rPr>
        <w:t>Internet]. Badan Penelitian</w:t>
      </w:r>
      <w:r w:rsidR="006730AF">
        <w:rPr>
          <w:noProof/>
          <w:szCs w:val="24"/>
        </w:rPr>
        <w:t xml:space="preserve"> </w:t>
      </w:r>
      <w:r w:rsidR="001A6C7A">
        <w:rPr>
          <w:noProof/>
          <w:szCs w:val="24"/>
        </w:rPr>
        <w:t>dan Pengembangan Kesehatan Kemenkes RI. 2015. Available </w:t>
      </w:r>
      <w:r w:rsidRPr="00650E80">
        <w:rPr>
          <w:noProof/>
          <w:szCs w:val="24"/>
        </w:rPr>
        <w:t>from:</w:t>
      </w:r>
      <w:r w:rsidR="009A0B8A">
        <w:rPr>
          <w:noProof/>
          <w:szCs w:val="24"/>
        </w:rPr>
        <w:t xml:space="preserve"> </w:t>
      </w:r>
      <w:r w:rsidRPr="00650E80">
        <w:rPr>
          <w:noProof/>
          <w:szCs w:val="24"/>
        </w:rPr>
        <w:t>https://farmalkes.kemkes.go.id/2015/01/bude-jamu/</w:t>
      </w:r>
    </w:p>
    <w:p w14:paraId="6D6B7459" w14:textId="1F222699" w:rsidR="00650E80" w:rsidRPr="001A6C7A" w:rsidRDefault="00650E80" w:rsidP="006730AF">
      <w:pPr>
        <w:widowControl w:val="0"/>
        <w:autoSpaceDE w:val="0"/>
        <w:autoSpaceDN w:val="0"/>
        <w:adjustRightInd w:val="0"/>
        <w:spacing w:line="276" w:lineRule="auto"/>
        <w:ind w:left="426" w:hanging="426"/>
        <w:rPr>
          <w:noProof/>
          <w:szCs w:val="24"/>
          <w:lang w:val="nl-NL"/>
        </w:rPr>
      </w:pPr>
      <w:r w:rsidRPr="00650E80">
        <w:rPr>
          <w:noProof/>
          <w:szCs w:val="24"/>
        </w:rPr>
        <w:t xml:space="preserve">8. </w:t>
      </w:r>
      <w:r w:rsidRPr="00650E80">
        <w:rPr>
          <w:noProof/>
          <w:szCs w:val="24"/>
        </w:rPr>
        <w:tab/>
        <w:t xml:space="preserve">Riaminanti NK, Hartiati A, Mulyani S. Studi kapasitas dan sinergisme antioksidan pada ekstrak kunyit dan daun asam. </w:t>
      </w:r>
      <w:r w:rsidRPr="001A6C7A">
        <w:rPr>
          <w:noProof/>
          <w:szCs w:val="24"/>
          <w:lang w:val="nl-NL"/>
        </w:rPr>
        <w:t xml:space="preserve">Rekayasa </w:t>
      </w:r>
      <w:r w:rsidR="00D60A93">
        <w:rPr>
          <w:noProof/>
          <w:szCs w:val="24"/>
          <w:lang w:val="nl-NL"/>
        </w:rPr>
        <w:t>d</w:t>
      </w:r>
      <w:r w:rsidRPr="001A6C7A">
        <w:rPr>
          <w:noProof/>
          <w:szCs w:val="24"/>
          <w:lang w:val="nl-NL"/>
        </w:rPr>
        <w:t xml:space="preserve">an Manaj Agroindustri. 2016;4(3):93–104. </w:t>
      </w:r>
    </w:p>
    <w:p w14:paraId="4E5B7EF4" w14:textId="36D4A112" w:rsidR="00650E80" w:rsidRPr="00650E80" w:rsidRDefault="00650E80" w:rsidP="006730AF">
      <w:pPr>
        <w:widowControl w:val="0"/>
        <w:autoSpaceDE w:val="0"/>
        <w:autoSpaceDN w:val="0"/>
        <w:adjustRightInd w:val="0"/>
        <w:spacing w:line="276" w:lineRule="auto"/>
        <w:ind w:left="426" w:hanging="426"/>
        <w:rPr>
          <w:noProof/>
          <w:szCs w:val="24"/>
        </w:rPr>
      </w:pPr>
      <w:r w:rsidRPr="001A6C7A">
        <w:rPr>
          <w:noProof/>
          <w:szCs w:val="24"/>
          <w:lang w:val="nl-NL"/>
        </w:rPr>
        <w:t xml:space="preserve">9. </w:t>
      </w:r>
      <w:r w:rsidRPr="001A6C7A">
        <w:rPr>
          <w:noProof/>
          <w:szCs w:val="24"/>
          <w:lang w:val="nl-NL"/>
        </w:rPr>
        <w:tab/>
        <w:t xml:space="preserve">Suralkar AA, Rodge KN, Kamble RD, Maske KS. </w:t>
      </w:r>
      <w:r w:rsidRPr="00650E80">
        <w:rPr>
          <w:noProof/>
          <w:szCs w:val="24"/>
        </w:rPr>
        <w:t xml:space="preserve">Evaluation of </w:t>
      </w:r>
      <w:r w:rsidR="00D60A93" w:rsidRPr="00650E80">
        <w:rPr>
          <w:noProof/>
          <w:szCs w:val="24"/>
        </w:rPr>
        <w:t>anti-inflammatory and analgesic activities of</w:t>
      </w:r>
      <w:r w:rsidRPr="00650E80">
        <w:rPr>
          <w:noProof/>
          <w:szCs w:val="24"/>
        </w:rPr>
        <w:t xml:space="preserve"> </w:t>
      </w:r>
      <w:r w:rsidRPr="000762CE">
        <w:rPr>
          <w:noProof/>
          <w:szCs w:val="24"/>
        </w:rPr>
        <w:t xml:space="preserve">Tamarindus indica </w:t>
      </w:r>
      <w:r w:rsidR="00D60A93" w:rsidRPr="000762CE">
        <w:rPr>
          <w:noProof/>
          <w:szCs w:val="24"/>
        </w:rPr>
        <w:t>s</w:t>
      </w:r>
      <w:r w:rsidRPr="000762CE">
        <w:rPr>
          <w:noProof/>
          <w:szCs w:val="24"/>
        </w:rPr>
        <w:t>e</w:t>
      </w:r>
      <w:r w:rsidRPr="00650E80">
        <w:rPr>
          <w:noProof/>
          <w:szCs w:val="24"/>
        </w:rPr>
        <w:t>eds. Int J Pharm Sci Drug Res [Internet]. 2012;4(3):213–7. Available from: www.ijpsdr.com</w:t>
      </w:r>
    </w:p>
    <w:p w14:paraId="272243F6" w14:textId="77777777" w:rsidR="00650E80" w:rsidRPr="00650E80" w:rsidRDefault="00650E80" w:rsidP="006730AF">
      <w:pPr>
        <w:widowControl w:val="0"/>
        <w:autoSpaceDE w:val="0"/>
        <w:autoSpaceDN w:val="0"/>
        <w:adjustRightInd w:val="0"/>
        <w:spacing w:line="276" w:lineRule="auto"/>
        <w:ind w:left="426" w:hanging="426"/>
        <w:rPr>
          <w:noProof/>
          <w:szCs w:val="24"/>
        </w:rPr>
      </w:pPr>
      <w:r w:rsidRPr="00650E80">
        <w:rPr>
          <w:noProof/>
          <w:szCs w:val="24"/>
        </w:rPr>
        <w:t xml:space="preserve">10. </w:t>
      </w:r>
      <w:r w:rsidRPr="00650E80">
        <w:rPr>
          <w:noProof/>
          <w:szCs w:val="24"/>
        </w:rPr>
        <w:tab/>
        <w:t xml:space="preserve">Wiradnyani NK. Dosage antioxidant drink sinom of β cell langerhans islet white mice spraque dawley diabetes mellitus. IOP Conf Ser Mater Sci Eng. 2018;434(1). </w:t>
      </w:r>
    </w:p>
    <w:p w14:paraId="68960EBB" w14:textId="05A1A468" w:rsidR="00650E80" w:rsidRPr="00650E80" w:rsidRDefault="00650E80" w:rsidP="006730AF">
      <w:pPr>
        <w:widowControl w:val="0"/>
        <w:autoSpaceDE w:val="0"/>
        <w:autoSpaceDN w:val="0"/>
        <w:adjustRightInd w:val="0"/>
        <w:spacing w:line="276" w:lineRule="auto"/>
        <w:ind w:left="426" w:hanging="426"/>
        <w:rPr>
          <w:noProof/>
          <w:szCs w:val="24"/>
        </w:rPr>
      </w:pPr>
      <w:r w:rsidRPr="00650E80">
        <w:rPr>
          <w:noProof/>
          <w:szCs w:val="24"/>
        </w:rPr>
        <w:t xml:space="preserve">11. </w:t>
      </w:r>
      <w:r w:rsidRPr="00650E80">
        <w:rPr>
          <w:noProof/>
          <w:szCs w:val="24"/>
        </w:rPr>
        <w:tab/>
        <w:t xml:space="preserve">Budiyati D, Setiyawan, Suryandari D. Pengaruh </w:t>
      </w:r>
      <w:r w:rsidR="00D60A93" w:rsidRPr="00650E80">
        <w:rPr>
          <w:noProof/>
          <w:szCs w:val="24"/>
        </w:rPr>
        <w:t xml:space="preserve">pemberian jeruk nipis dan madu terhadap kadar asam urat di </w:t>
      </w:r>
      <w:r w:rsidR="00D60A93">
        <w:rPr>
          <w:noProof/>
          <w:szCs w:val="24"/>
        </w:rPr>
        <w:t>D</w:t>
      </w:r>
      <w:r w:rsidR="00D60A93" w:rsidRPr="00650E80">
        <w:rPr>
          <w:noProof/>
          <w:szCs w:val="24"/>
        </w:rPr>
        <w:t xml:space="preserve">usun </w:t>
      </w:r>
      <w:r w:rsidR="00D60A93">
        <w:rPr>
          <w:noProof/>
          <w:szCs w:val="24"/>
        </w:rPr>
        <w:t>K</w:t>
      </w:r>
      <w:r w:rsidR="00D60A93" w:rsidRPr="00650E80">
        <w:rPr>
          <w:noProof/>
          <w:szCs w:val="24"/>
        </w:rPr>
        <w:t xml:space="preserve">endelban </w:t>
      </w:r>
      <w:r w:rsidR="00D60A93">
        <w:rPr>
          <w:noProof/>
          <w:szCs w:val="24"/>
        </w:rPr>
        <w:t>K</w:t>
      </w:r>
      <w:r w:rsidR="00D60A93" w:rsidRPr="00650E80">
        <w:rPr>
          <w:noProof/>
          <w:szCs w:val="24"/>
        </w:rPr>
        <w:t xml:space="preserve">emusu </w:t>
      </w:r>
      <w:r w:rsidR="00D60A93">
        <w:rPr>
          <w:noProof/>
          <w:szCs w:val="24"/>
        </w:rPr>
        <w:t>B</w:t>
      </w:r>
      <w:r w:rsidR="00D60A93" w:rsidRPr="00650E80">
        <w:rPr>
          <w:noProof/>
          <w:szCs w:val="24"/>
        </w:rPr>
        <w:t>oyolali</w:t>
      </w:r>
      <w:r w:rsidRPr="00650E80">
        <w:rPr>
          <w:noProof/>
          <w:szCs w:val="24"/>
        </w:rPr>
        <w:t xml:space="preserve">. STIKes Kusuma Husada Surakarta. 2017;1–9. </w:t>
      </w:r>
    </w:p>
    <w:p w14:paraId="5FBFF805" w14:textId="77777777" w:rsidR="00650E80" w:rsidRPr="00650E80" w:rsidRDefault="00650E80" w:rsidP="006730AF">
      <w:pPr>
        <w:widowControl w:val="0"/>
        <w:autoSpaceDE w:val="0"/>
        <w:autoSpaceDN w:val="0"/>
        <w:adjustRightInd w:val="0"/>
        <w:spacing w:line="276" w:lineRule="auto"/>
        <w:ind w:left="426" w:hanging="426"/>
        <w:rPr>
          <w:noProof/>
          <w:szCs w:val="24"/>
        </w:rPr>
      </w:pPr>
      <w:r w:rsidRPr="00650E80">
        <w:rPr>
          <w:noProof/>
          <w:szCs w:val="24"/>
        </w:rPr>
        <w:t xml:space="preserve">12. </w:t>
      </w:r>
      <w:r w:rsidRPr="00650E80">
        <w:rPr>
          <w:noProof/>
          <w:szCs w:val="24"/>
        </w:rPr>
        <w:tab/>
        <w:t xml:space="preserve">Tiong SH, Looi CY, Hazni H, Arya A, Paydar M, Wong WF, et al. Antidiabetic and antioxidant properties of alkaloids from </w:t>
      </w:r>
      <w:r w:rsidRPr="000762CE">
        <w:rPr>
          <w:noProof/>
          <w:szCs w:val="24"/>
        </w:rPr>
        <w:t>Catharanthus roseus (L.) G. Don</w:t>
      </w:r>
      <w:r w:rsidRPr="00650E80">
        <w:rPr>
          <w:noProof/>
          <w:szCs w:val="24"/>
        </w:rPr>
        <w:t xml:space="preserve">. Molecules. 2013;18(8):9770–84. </w:t>
      </w:r>
    </w:p>
    <w:p w14:paraId="629ABAB8" w14:textId="26E46FAE" w:rsidR="00650E80" w:rsidRPr="00650E80" w:rsidRDefault="00650E80" w:rsidP="006730AF">
      <w:pPr>
        <w:widowControl w:val="0"/>
        <w:autoSpaceDE w:val="0"/>
        <w:autoSpaceDN w:val="0"/>
        <w:adjustRightInd w:val="0"/>
        <w:spacing w:line="276" w:lineRule="auto"/>
        <w:ind w:left="426" w:hanging="426"/>
        <w:rPr>
          <w:noProof/>
          <w:szCs w:val="24"/>
        </w:rPr>
      </w:pPr>
      <w:r w:rsidRPr="00650E80">
        <w:rPr>
          <w:noProof/>
          <w:szCs w:val="24"/>
        </w:rPr>
        <w:t xml:space="preserve">13. </w:t>
      </w:r>
      <w:r w:rsidRPr="00650E80">
        <w:rPr>
          <w:noProof/>
          <w:szCs w:val="24"/>
        </w:rPr>
        <w:tab/>
        <w:t xml:space="preserve">Rahmi Y. Uji </w:t>
      </w:r>
      <w:r w:rsidR="00D60A93" w:rsidRPr="00650E80">
        <w:rPr>
          <w:noProof/>
          <w:szCs w:val="24"/>
        </w:rPr>
        <w:t xml:space="preserve">antihiperurisemia kombinasi ekstrak etanol 70% daun sidaguri </w:t>
      </w:r>
      <w:r w:rsidR="00D60A93" w:rsidRPr="000762CE">
        <w:rPr>
          <w:noProof/>
          <w:szCs w:val="24"/>
        </w:rPr>
        <w:t xml:space="preserve">(Sida rhombifolia l) </w:t>
      </w:r>
      <w:r w:rsidR="00D60A93" w:rsidRPr="00650E80">
        <w:rPr>
          <w:noProof/>
          <w:szCs w:val="24"/>
        </w:rPr>
        <w:t>dan allopurinol terhadap tikus sprague-dawley yang diinduksi kafein</w:t>
      </w:r>
      <w:r w:rsidRPr="00650E80">
        <w:rPr>
          <w:noProof/>
          <w:szCs w:val="24"/>
        </w:rPr>
        <w:t xml:space="preserve">. Universitas Islam Negeri Syarif Hidayatullah. Universitas Islam Negeri Syarif Hidayatullah; 2017. </w:t>
      </w:r>
    </w:p>
    <w:p w14:paraId="64FA1C0D" w14:textId="41C60C47" w:rsidR="00650E80" w:rsidRPr="00650E80" w:rsidRDefault="00650E80" w:rsidP="006730AF">
      <w:pPr>
        <w:widowControl w:val="0"/>
        <w:autoSpaceDE w:val="0"/>
        <w:autoSpaceDN w:val="0"/>
        <w:adjustRightInd w:val="0"/>
        <w:spacing w:line="276" w:lineRule="auto"/>
        <w:ind w:left="426" w:hanging="426"/>
        <w:rPr>
          <w:noProof/>
          <w:szCs w:val="24"/>
        </w:rPr>
      </w:pPr>
      <w:r w:rsidRPr="00650E80">
        <w:rPr>
          <w:noProof/>
          <w:szCs w:val="24"/>
        </w:rPr>
        <w:t xml:space="preserve">14. </w:t>
      </w:r>
      <w:r w:rsidRPr="00650E80">
        <w:rPr>
          <w:noProof/>
          <w:szCs w:val="24"/>
        </w:rPr>
        <w:tab/>
        <w:t xml:space="preserve">Kusumawati D. Bersahabat dengan </w:t>
      </w:r>
      <w:r w:rsidR="00D60A93">
        <w:rPr>
          <w:noProof/>
          <w:szCs w:val="24"/>
        </w:rPr>
        <w:t>h</w:t>
      </w:r>
      <w:r w:rsidRPr="00650E80">
        <w:rPr>
          <w:noProof/>
          <w:szCs w:val="24"/>
        </w:rPr>
        <w:t xml:space="preserve">ewan </w:t>
      </w:r>
      <w:r w:rsidR="00D60A93">
        <w:rPr>
          <w:noProof/>
          <w:szCs w:val="24"/>
        </w:rPr>
        <w:t>c</w:t>
      </w:r>
      <w:r w:rsidRPr="00650E80">
        <w:rPr>
          <w:noProof/>
          <w:szCs w:val="24"/>
        </w:rPr>
        <w:t xml:space="preserve">oba. Yogyakarta: Gajah Mada University Press; 2016. </w:t>
      </w:r>
    </w:p>
    <w:p w14:paraId="6A131E8C" w14:textId="44AEA8F2" w:rsidR="00650E80" w:rsidRPr="00650E80" w:rsidRDefault="00650E80" w:rsidP="006730AF">
      <w:pPr>
        <w:widowControl w:val="0"/>
        <w:autoSpaceDE w:val="0"/>
        <w:autoSpaceDN w:val="0"/>
        <w:adjustRightInd w:val="0"/>
        <w:spacing w:line="276" w:lineRule="auto"/>
        <w:ind w:left="426" w:hanging="426"/>
        <w:rPr>
          <w:noProof/>
          <w:szCs w:val="24"/>
        </w:rPr>
      </w:pPr>
      <w:r w:rsidRPr="001A6C7A">
        <w:rPr>
          <w:noProof/>
          <w:szCs w:val="24"/>
          <w:lang w:val="nl-NL"/>
        </w:rPr>
        <w:t xml:space="preserve">15. </w:t>
      </w:r>
      <w:r w:rsidRPr="001A6C7A">
        <w:rPr>
          <w:noProof/>
          <w:szCs w:val="24"/>
          <w:lang w:val="nl-NL"/>
        </w:rPr>
        <w:tab/>
        <w:t xml:space="preserve">Dahlan M. Statistik untuk </w:t>
      </w:r>
      <w:r w:rsidR="000762CE" w:rsidRPr="001A6C7A">
        <w:rPr>
          <w:noProof/>
          <w:szCs w:val="24"/>
          <w:lang w:val="nl-NL"/>
        </w:rPr>
        <w:t>kedokteran dan kesehatan</w:t>
      </w:r>
      <w:r w:rsidRPr="001A6C7A">
        <w:rPr>
          <w:noProof/>
          <w:szCs w:val="24"/>
          <w:lang w:val="nl-NL"/>
        </w:rPr>
        <w:t xml:space="preserve">. </w:t>
      </w:r>
      <w:r w:rsidRPr="00650E80">
        <w:rPr>
          <w:noProof/>
          <w:szCs w:val="24"/>
        </w:rPr>
        <w:t xml:space="preserve">5th ed. Jakarta: Salemba Medika; 2011. </w:t>
      </w:r>
    </w:p>
    <w:p w14:paraId="7A87DC6A" w14:textId="77777777" w:rsidR="00650E80" w:rsidRPr="00650E80" w:rsidRDefault="00650E80" w:rsidP="006730AF">
      <w:pPr>
        <w:widowControl w:val="0"/>
        <w:autoSpaceDE w:val="0"/>
        <w:autoSpaceDN w:val="0"/>
        <w:adjustRightInd w:val="0"/>
        <w:spacing w:line="276" w:lineRule="auto"/>
        <w:ind w:left="426" w:hanging="426"/>
        <w:rPr>
          <w:noProof/>
          <w:szCs w:val="24"/>
        </w:rPr>
      </w:pPr>
      <w:r w:rsidRPr="00650E80">
        <w:rPr>
          <w:noProof/>
          <w:szCs w:val="24"/>
        </w:rPr>
        <w:t xml:space="preserve">16. </w:t>
      </w:r>
      <w:r w:rsidRPr="00650E80">
        <w:rPr>
          <w:noProof/>
          <w:szCs w:val="24"/>
        </w:rPr>
        <w:tab/>
        <w:t>Santoso AA. Efek pemberian ekstrak methanol daun keniki</w:t>
      </w:r>
      <w:r w:rsidRPr="000762CE">
        <w:rPr>
          <w:noProof/>
          <w:szCs w:val="24"/>
        </w:rPr>
        <w:t>r (Cosmos caudatus Kunth.) t</w:t>
      </w:r>
      <w:r w:rsidRPr="00650E80">
        <w:rPr>
          <w:noProof/>
          <w:szCs w:val="24"/>
        </w:rPr>
        <w:t xml:space="preserve">erhadap kadar asam urat tikus putih galur wistar hiperurisemia [skripsi]. Surakarta: UMS. 2012;1–34. </w:t>
      </w:r>
    </w:p>
    <w:p w14:paraId="491FBC81" w14:textId="3ECD8B11" w:rsidR="00650E80" w:rsidRPr="00650E80" w:rsidRDefault="00650E80" w:rsidP="006730AF">
      <w:pPr>
        <w:widowControl w:val="0"/>
        <w:autoSpaceDE w:val="0"/>
        <w:autoSpaceDN w:val="0"/>
        <w:adjustRightInd w:val="0"/>
        <w:spacing w:line="276" w:lineRule="auto"/>
        <w:ind w:left="426" w:hanging="426"/>
        <w:rPr>
          <w:noProof/>
          <w:szCs w:val="24"/>
        </w:rPr>
      </w:pPr>
      <w:r w:rsidRPr="00650E80">
        <w:rPr>
          <w:noProof/>
          <w:szCs w:val="24"/>
        </w:rPr>
        <w:t xml:space="preserve">17. </w:t>
      </w:r>
      <w:r w:rsidRPr="00650E80">
        <w:rPr>
          <w:noProof/>
          <w:szCs w:val="24"/>
        </w:rPr>
        <w:tab/>
        <w:t xml:space="preserve">Prasetia Y. Uji efek ekstrak etanol daun sirih. 2009. </w:t>
      </w:r>
    </w:p>
    <w:p w14:paraId="618F6D37" w14:textId="3336A900" w:rsidR="00650E80" w:rsidRPr="00650E80" w:rsidRDefault="00650E80" w:rsidP="006730AF">
      <w:pPr>
        <w:widowControl w:val="0"/>
        <w:autoSpaceDE w:val="0"/>
        <w:autoSpaceDN w:val="0"/>
        <w:adjustRightInd w:val="0"/>
        <w:spacing w:line="276" w:lineRule="auto"/>
        <w:ind w:left="426" w:hanging="426"/>
        <w:rPr>
          <w:noProof/>
          <w:szCs w:val="24"/>
        </w:rPr>
      </w:pPr>
      <w:r w:rsidRPr="00650E80">
        <w:rPr>
          <w:noProof/>
          <w:szCs w:val="24"/>
        </w:rPr>
        <w:t xml:space="preserve">18. </w:t>
      </w:r>
      <w:r w:rsidRPr="00650E80">
        <w:rPr>
          <w:noProof/>
          <w:szCs w:val="24"/>
        </w:rPr>
        <w:tab/>
        <w:t>Hernowati TE, Susanto H, Therik JWD. Efek nutrisional tepung daun kelo</w:t>
      </w:r>
      <w:r w:rsidRPr="000762CE">
        <w:rPr>
          <w:noProof/>
          <w:szCs w:val="24"/>
        </w:rPr>
        <w:t>r (</w:t>
      </w:r>
      <w:r w:rsidR="000762CE" w:rsidRPr="000762CE">
        <w:rPr>
          <w:noProof/>
          <w:szCs w:val="24"/>
        </w:rPr>
        <w:t>M</w:t>
      </w:r>
      <w:r w:rsidRPr="000762CE">
        <w:rPr>
          <w:noProof/>
          <w:szCs w:val="24"/>
        </w:rPr>
        <w:t>oringa oleifera) var</w:t>
      </w:r>
      <w:r w:rsidRPr="00650E80">
        <w:rPr>
          <w:noProof/>
          <w:szCs w:val="24"/>
        </w:rPr>
        <w:t>ietas NTT terhadap status gizi tikus wistar KEP (Kurang Energi Protein) [Internet]. Jakarta: Universitas Brawijaya; 2009. Available from: https://onesearch.id/Record/IOS1.INLIS000000000352671</w:t>
      </w:r>
    </w:p>
    <w:p w14:paraId="565DB457" w14:textId="305A125B" w:rsidR="00650E80" w:rsidRPr="00650E80" w:rsidRDefault="00650E80" w:rsidP="006730AF">
      <w:pPr>
        <w:widowControl w:val="0"/>
        <w:autoSpaceDE w:val="0"/>
        <w:autoSpaceDN w:val="0"/>
        <w:adjustRightInd w:val="0"/>
        <w:spacing w:line="276" w:lineRule="auto"/>
        <w:ind w:left="426" w:hanging="426"/>
        <w:rPr>
          <w:noProof/>
          <w:szCs w:val="24"/>
        </w:rPr>
      </w:pPr>
      <w:r w:rsidRPr="00650E80">
        <w:rPr>
          <w:noProof/>
          <w:szCs w:val="24"/>
        </w:rPr>
        <w:t xml:space="preserve">19. </w:t>
      </w:r>
      <w:r w:rsidRPr="00650E80">
        <w:rPr>
          <w:noProof/>
          <w:szCs w:val="24"/>
        </w:rPr>
        <w:tab/>
        <w:t xml:space="preserve">Moore DM. The </w:t>
      </w:r>
      <w:r w:rsidR="000762CE" w:rsidRPr="00650E80">
        <w:rPr>
          <w:noProof/>
          <w:szCs w:val="24"/>
        </w:rPr>
        <w:t>laboratory animal medicine and science</w:t>
      </w:r>
      <w:r w:rsidRPr="00650E80">
        <w:rPr>
          <w:noProof/>
          <w:szCs w:val="24"/>
        </w:rPr>
        <w:t xml:space="preserve"> [Internet]. University of Washington; 2000. 1–23 p. Available from: https://www.yumpu.com/en/document/read/51625251/laboratory-animal-medicine-and-science-series-ii-</w:t>
      </w:r>
    </w:p>
    <w:p w14:paraId="63DC53E1" w14:textId="09D9D278" w:rsidR="00650E80" w:rsidRPr="00650E80" w:rsidRDefault="00650E80" w:rsidP="006730AF">
      <w:pPr>
        <w:widowControl w:val="0"/>
        <w:autoSpaceDE w:val="0"/>
        <w:autoSpaceDN w:val="0"/>
        <w:adjustRightInd w:val="0"/>
        <w:spacing w:line="276" w:lineRule="auto"/>
        <w:ind w:left="426" w:hanging="426"/>
        <w:rPr>
          <w:noProof/>
          <w:szCs w:val="24"/>
        </w:rPr>
      </w:pPr>
      <w:r w:rsidRPr="00650E80">
        <w:rPr>
          <w:noProof/>
          <w:szCs w:val="24"/>
        </w:rPr>
        <w:t xml:space="preserve">20. </w:t>
      </w:r>
      <w:r w:rsidRPr="00650E80">
        <w:rPr>
          <w:noProof/>
          <w:szCs w:val="24"/>
        </w:rPr>
        <w:tab/>
        <w:t xml:space="preserve">Wulan ER. Pengaruh </w:t>
      </w:r>
      <w:r w:rsidR="000762CE" w:rsidRPr="00650E80">
        <w:rPr>
          <w:noProof/>
          <w:szCs w:val="24"/>
        </w:rPr>
        <w:t>terapi minum air putih terhadap perubahan kadar asam urat darah pada penderita asam urat</w:t>
      </w:r>
      <w:r w:rsidRPr="00650E80">
        <w:rPr>
          <w:noProof/>
          <w:szCs w:val="24"/>
        </w:rPr>
        <w:t xml:space="preserve"> di Desa Katipugal Kec. </w:t>
      </w:r>
      <w:r w:rsidR="000762CE">
        <w:rPr>
          <w:noProof/>
          <w:szCs w:val="24"/>
        </w:rPr>
        <w:t>K</w:t>
      </w:r>
      <w:r w:rsidRPr="00650E80">
        <w:rPr>
          <w:noProof/>
          <w:szCs w:val="24"/>
        </w:rPr>
        <w:t xml:space="preserve">ebonagung Kab. </w:t>
      </w:r>
      <w:r w:rsidR="000762CE">
        <w:rPr>
          <w:noProof/>
          <w:szCs w:val="24"/>
        </w:rPr>
        <w:t>P</w:t>
      </w:r>
      <w:r w:rsidRPr="00650E80">
        <w:rPr>
          <w:noProof/>
          <w:szCs w:val="24"/>
        </w:rPr>
        <w:t>acitan. Skripsi [Internet]. 2017; Available from: http://repository.stikes-bhm.ac.id/197/</w:t>
      </w:r>
    </w:p>
    <w:p w14:paraId="168ADC9F" w14:textId="594CCF17" w:rsidR="00650E80" w:rsidRPr="00650E80" w:rsidRDefault="00650E80" w:rsidP="006730AF">
      <w:pPr>
        <w:widowControl w:val="0"/>
        <w:autoSpaceDE w:val="0"/>
        <w:autoSpaceDN w:val="0"/>
        <w:adjustRightInd w:val="0"/>
        <w:spacing w:line="276" w:lineRule="auto"/>
        <w:ind w:left="426" w:hanging="426"/>
        <w:rPr>
          <w:noProof/>
          <w:szCs w:val="24"/>
        </w:rPr>
      </w:pPr>
      <w:r w:rsidRPr="00650E80">
        <w:rPr>
          <w:noProof/>
          <w:szCs w:val="24"/>
        </w:rPr>
        <w:t xml:space="preserve">21. </w:t>
      </w:r>
      <w:r w:rsidRPr="00650E80">
        <w:rPr>
          <w:noProof/>
          <w:szCs w:val="24"/>
        </w:rPr>
        <w:tab/>
        <w:t xml:space="preserve">Diantari E, Candra A. Pengaruh </w:t>
      </w:r>
      <w:r w:rsidR="000762CE" w:rsidRPr="00650E80">
        <w:rPr>
          <w:noProof/>
          <w:szCs w:val="24"/>
        </w:rPr>
        <w:t>asupan purin dan cairan terhadap kadar asam urat wanita usia 50-60 tahun d</w:t>
      </w:r>
      <w:r w:rsidRPr="00650E80">
        <w:rPr>
          <w:noProof/>
          <w:szCs w:val="24"/>
        </w:rPr>
        <w:t xml:space="preserve">i Kecamatan Gajah Mungkur, Semarang. J Nutr Coll. 2013;2:44–9. </w:t>
      </w:r>
    </w:p>
    <w:p w14:paraId="683E793B" w14:textId="3D046439" w:rsidR="00650E80" w:rsidRPr="00650E80" w:rsidRDefault="00650E80" w:rsidP="006730AF">
      <w:pPr>
        <w:widowControl w:val="0"/>
        <w:autoSpaceDE w:val="0"/>
        <w:autoSpaceDN w:val="0"/>
        <w:adjustRightInd w:val="0"/>
        <w:spacing w:line="276" w:lineRule="auto"/>
        <w:ind w:left="426" w:hanging="426"/>
        <w:rPr>
          <w:noProof/>
          <w:szCs w:val="24"/>
        </w:rPr>
      </w:pPr>
      <w:r w:rsidRPr="00650E80">
        <w:rPr>
          <w:noProof/>
          <w:szCs w:val="24"/>
        </w:rPr>
        <w:t xml:space="preserve">22. </w:t>
      </w:r>
      <w:r w:rsidRPr="00650E80">
        <w:rPr>
          <w:noProof/>
          <w:szCs w:val="24"/>
        </w:rPr>
        <w:tab/>
        <w:t xml:space="preserve">Candra AK, Rahmawati. Pengaruh </w:t>
      </w:r>
      <w:r w:rsidR="000762CE" w:rsidRPr="00650E80">
        <w:rPr>
          <w:noProof/>
          <w:szCs w:val="24"/>
        </w:rPr>
        <w:t>pemberian seduhan daun kelor (</w:t>
      </w:r>
      <w:r w:rsidR="000762CE">
        <w:rPr>
          <w:noProof/>
          <w:szCs w:val="24"/>
        </w:rPr>
        <w:t>M</w:t>
      </w:r>
      <w:r w:rsidR="000762CE" w:rsidRPr="00650E80">
        <w:rPr>
          <w:noProof/>
          <w:szCs w:val="24"/>
        </w:rPr>
        <w:t>oringa oleifera lamk) terhadap kadar asam urat tikus putih</w:t>
      </w:r>
      <w:r w:rsidRPr="00650E80">
        <w:rPr>
          <w:noProof/>
          <w:szCs w:val="24"/>
        </w:rPr>
        <w:t xml:space="preserve"> (Rattus norvegicus). J Nutr Coll. 2015;4(2):593–8. </w:t>
      </w:r>
    </w:p>
    <w:p w14:paraId="3FBDB27C" w14:textId="35B4BF5F" w:rsidR="00650E80" w:rsidRPr="00650E80" w:rsidRDefault="00650E80" w:rsidP="006730AF">
      <w:pPr>
        <w:widowControl w:val="0"/>
        <w:autoSpaceDE w:val="0"/>
        <w:autoSpaceDN w:val="0"/>
        <w:adjustRightInd w:val="0"/>
        <w:spacing w:line="276" w:lineRule="auto"/>
        <w:ind w:left="426" w:hanging="426"/>
        <w:rPr>
          <w:noProof/>
          <w:szCs w:val="24"/>
        </w:rPr>
      </w:pPr>
      <w:r w:rsidRPr="00650E80">
        <w:rPr>
          <w:noProof/>
          <w:szCs w:val="24"/>
        </w:rPr>
        <w:lastRenderedPageBreak/>
        <w:t xml:space="preserve">23. </w:t>
      </w:r>
      <w:r w:rsidRPr="00650E80">
        <w:rPr>
          <w:noProof/>
          <w:szCs w:val="24"/>
        </w:rPr>
        <w:tab/>
        <w:t xml:space="preserve">Tania Anissa SS, Ainulhayati S, Rasfayanah R. Pengaruh </w:t>
      </w:r>
      <w:r w:rsidR="000762CE" w:rsidRPr="00650E80">
        <w:rPr>
          <w:noProof/>
          <w:szCs w:val="24"/>
        </w:rPr>
        <w:t xml:space="preserve">pemberian air rebusan daun sirsak </w:t>
      </w:r>
      <w:r w:rsidRPr="00650E80">
        <w:rPr>
          <w:noProof/>
          <w:szCs w:val="24"/>
        </w:rPr>
        <w:t xml:space="preserve">(Annona muricata Linn.) terhadap </w:t>
      </w:r>
      <w:r w:rsidR="000762CE">
        <w:rPr>
          <w:noProof/>
          <w:szCs w:val="24"/>
        </w:rPr>
        <w:t>p</w:t>
      </w:r>
      <w:r w:rsidR="000762CE" w:rsidRPr="00650E80">
        <w:rPr>
          <w:noProof/>
          <w:szCs w:val="24"/>
        </w:rPr>
        <w:t>enurunan kadar asam urat darah mencit</w:t>
      </w:r>
      <w:r w:rsidRPr="00650E80">
        <w:rPr>
          <w:noProof/>
          <w:szCs w:val="24"/>
        </w:rPr>
        <w:t xml:space="preserve"> (Mus musculus). UMI Med J. 2019;2(1):38–56. </w:t>
      </w:r>
    </w:p>
    <w:p w14:paraId="6B752805" w14:textId="0B2DCCF1" w:rsidR="00650E80" w:rsidRPr="00650E80" w:rsidRDefault="00650E80" w:rsidP="006730AF">
      <w:pPr>
        <w:widowControl w:val="0"/>
        <w:autoSpaceDE w:val="0"/>
        <w:autoSpaceDN w:val="0"/>
        <w:adjustRightInd w:val="0"/>
        <w:spacing w:line="276" w:lineRule="auto"/>
        <w:ind w:left="426" w:hanging="426"/>
        <w:rPr>
          <w:noProof/>
          <w:szCs w:val="24"/>
        </w:rPr>
      </w:pPr>
      <w:r w:rsidRPr="00650E80">
        <w:rPr>
          <w:noProof/>
          <w:szCs w:val="24"/>
        </w:rPr>
        <w:t xml:space="preserve">24. </w:t>
      </w:r>
      <w:r w:rsidRPr="00650E80">
        <w:rPr>
          <w:noProof/>
          <w:szCs w:val="24"/>
        </w:rPr>
        <w:tab/>
        <w:t xml:space="preserve">Katzung BG, Masters SB, Trevor AJ. Antihypertensive </w:t>
      </w:r>
      <w:r w:rsidR="00350523">
        <w:rPr>
          <w:noProof/>
          <w:szCs w:val="24"/>
        </w:rPr>
        <w:t>a</w:t>
      </w:r>
      <w:r w:rsidRPr="00650E80">
        <w:rPr>
          <w:noProof/>
          <w:szCs w:val="24"/>
        </w:rPr>
        <w:t xml:space="preserve">gents. Vol. 12, Annual Reports in Medicinal Chemistry. 1977. 60–69 p. </w:t>
      </w:r>
    </w:p>
    <w:p w14:paraId="088D3404" w14:textId="1364B4D9" w:rsidR="00650E80" w:rsidRPr="00650E80" w:rsidRDefault="00650E80" w:rsidP="006730AF">
      <w:pPr>
        <w:widowControl w:val="0"/>
        <w:autoSpaceDE w:val="0"/>
        <w:autoSpaceDN w:val="0"/>
        <w:adjustRightInd w:val="0"/>
        <w:spacing w:line="276" w:lineRule="auto"/>
        <w:ind w:left="426" w:hanging="426"/>
        <w:rPr>
          <w:noProof/>
          <w:szCs w:val="24"/>
        </w:rPr>
      </w:pPr>
      <w:r w:rsidRPr="00650E80">
        <w:rPr>
          <w:noProof/>
          <w:szCs w:val="24"/>
        </w:rPr>
        <w:t xml:space="preserve">25. </w:t>
      </w:r>
      <w:r w:rsidRPr="00650E80">
        <w:rPr>
          <w:noProof/>
          <w:szCs w:val="24"/>
        </w:rPr>
        <w:tab/>
        <w:t xml:space="preserve">Tahir I. Arti penting kalibrasi pada proses pengukuran analitik: </w:t>
      </w:r>
      <w:r w:rsidR="00B93999">
        <w:rPr>
          <w:noProof/>
          <w:szCs w:val="24"/>
        </w:rPr>
        <w:t>A</w:t>
      </w:r>
      <w:r w:rsidRPr="00650E80">
        <w:rPr>
          <w:noProof/>
          <w:szCs w:val="24"/>
        </w:rPr>
        <w:t>plikasi pada penggunaan pH</w:t>
      </w:r>
      <w:r w:rsidR="00B93999">
        <w:rPr>
          <w:noProof/>
          <w:szCs w:val="24"/>
        </w:rPr>
        <w:t xml:space="preserve"> </w:t>
      </w:r>
      <w:r w:rsidRPr="00650E80">
        <w:rPr>
          <w:noProof/>
          <w:szCs w:val="24"/>
        </w:rPr>
        <w:t>meter dan spektrofotometer UV-Vis. Univ Gajah Mada, Yogyakarta [Internet]. 2015;2(3):1–8. Available from: www.ijcrcps.com</w:t>
      </w:r>
    </w:p>
    <w:p w14:paraId="2C113C05" w14:textId="1174C13C" w:rsidR="00650E80" w:rsidRPr="00650E80" w:rsidRDefault="00650E80" w:rsidP="006730AF">
      <w:pPr>
        <w:widowControl w:val="0"/>
        <w:autoSpaceDE w:val="0"/>
        <w:autoSpaceDN w:val="0"/>
        <w:adjustRightInd w:val="0"/>
        <w:spacing w:line="276" w:lineRule="auto"/>
        <w:ind w:left="426" w:hanging="426"/>
        <w:rPr>
          <w:noProof/>
          <w:szCs w:val="24"/>
        </w:rPr>
      </w:pPr>
      <w:r w:rsidRPr="00650E80">
        <w:rPr>
          <w:noProof/>
          <w:szCs w:val="24"/>
        </w:rPr>
        <w:t xml:space="preserve">26. </w:t>
      </w:r>
      <w:r w:rsidRPr="00650E80">
        <w:rPr>
          <w:noProof/>
          <w:szCs w:val="24"/>
        </w:rPr>
        <w:tab/>
        <w:t xml:space="preserve">Lingga L. Bebas </w:t>
      </w:r>
      <w:r w:rsidR="00B93999" w:rsidRPr="00650E80">
        <w:rPr>
          <w:noProof/>
          <w:szCs w:val="24"/>
        </w:rPr>
        <w:t>penyakit asam urat tanpa obat</w:t>
      </w:r>
      <w:r w:rsidRPr="00650E80">
        <w:rPr>
          <w:noProof/>
          <w:szCs w:val="24"/>
        </w:rPr>
        <w:t xml:space="preserve">. 1st ed. Jakarta: PT. AgroMedia Pustaka; 2012. </w:t>
      </w:r>
    </w:p>
    <w:p w14:paraId="2C3858FE" w14:textId="5FDD2C93" w:rsidR="00650E80" w:rsidRPr="00650E80" w:rsidRDefault="00650E80" w:rsidP="006730AF">
      <w:pPr>
        <w:widowControl w:val="0"/>
        <w:autoSpaceDE w:val="0"/>
        <w:autoSpaceDN w:val="0"/>
        <w:adjustRightInd w:val="0"/>
        <w:spacing w:line="276" w:lineRule="auto"/>
        <w:ind w:left="426" w:hanging="426"/>
        <w:rPr>
          <w:noProof/>
          <w:szCs w:val="24"/>
        </w:rPr>
      </w:pPr>
      <w:r w:rsidRPr="00650E80">
        <w:rPr>
          <w:noProof/>
          <w:szCs w:val="24"/>
        </w:rPr>
        <w:t xml:space="preserve">27. </w:t>
      </w:r>
      <w:r w:rsidRPr="00650E80">
        <w:rPr>
          <w:noProof/>
          <w:szCs w:val="24"/>
        </w:rPr>
        <w:tab/>
        <w:t xml:space="preserve">Mulyasari A, Dieny FF. Faktor </w:t>
      </w:r>
      <w:r w:rsidR="00350523" w:rsidRPr="00650E80">
        <w:rPr>
          <w:noProof/>
          <w:szCs w:val="24"/>
        </w:rPr>
        <w:t>asupan zat gizi yang berhubungan kadar asam urat darah wanita postmenopause</w:t>
      </w:r>
      <w:r w:rsidRPr="00650E80">
        <w:rPr>
          <w:noProof/>
          <w:szCs w:val="24"/>
        </w:rPr>
        <w:t xml:space="preserve">. J Nutr Coll. 2015;4(3):232–42. </w:t>
      </w:r>
    </w:p>
    <w:p w14:paraId="08BAE590" w14:textId="7ACB5981" w:rsidR="00650E80" w:rsidRPr="00650E80" w:rsidRDefault="00650E80" w:rsidP="006730AF">
      <w:pPr>
        <w:widowControl w:val="0"/>
        <w:autoSpaceDE w:val="0"/>
        <w:autoSpaceDN w:val="0"/>
        <w:adjustRightInd w:val="0"/>
        <w:spacing w:line="276" w:lineRule="auto"/>
        <w:ind w:left="426" w:hanging="426"/>
        <w:rPr>
          <w:noProof/>
        </w:rPr>
      </w:pPr>
      <w:r w:rsidRPr="00650E80">
        <w:rPr>
          <w:noProof/>
          <w:szCs w:val="24"/>
        </w:rPr>
        <w:t xml:space="preserve">28. </w:t>
      </w:r>
      <w:r w:rsidRPr="00650E80">
        <w:rPr>
          <w:noProof/>
          <w:szCs w:val="24"/>
        </w:rPr>
        <w:tab/>
        <w:t xml:space="preserve">Raka P, Tjokorda. Hiperurisemia. Buku </w:t>
      </w:r>
      <w:r w:rsidR="00B93999" w:rsidRPr="00650E80">
        <w:rPr>
          <w:noProof/>
          <w:szCs w:val="24"/>
        </w:rPr>
        <w:t>ajar ilmu penyakit dalam</w:t>
      </w:r>
      <w:r w:rsidRPr="00650E80">
        <w:rPr>
          <w:noProof/>
          <w:szCs w:val="24"/>
        </w:rPr>
        <w:t xml:space="preserve">. </w:t>
      </w:r>
      <w:r w:rsidR="00B93999">
        <w:rPr>
          <w:noProof/>
          <w:szCs w:val="24"/>
        </w:rPr>
        <w:t>J</w:t>
      </w:r>
      <w:r w:rsidRPr="00650E80">
        <w:rPr>
          <w:noProof/>
          <w:szCs w:val="24"/>
        </w:rPr>
        <w:t xml:space="preserve">ilid II. Jakarta: Pusat Penerbitan Departemen Ilmu Penyakit Dalam Fakultas Kedokteran Universitas Indonesia; 2009. </w:t>
      </w:r>
    </w:p>
    <w:p w14:paraId="05057E43" w14:textId="77777777" w:rsidR="003C6F7D" w:rsidRPr="00C74B83" w:rsidRDefault="00650E80" w:rsidP="009A7572">
      <w:pPr>
        <w:spacing w:line="276" w:lineRule="auto"/>
        <w:ind w:left="567" w:hanging="567"/>
        <w:rPr>
          <w:lang w:val="id-ID"/>
        </w:rPr>
      </w:pPr>
      <w:r>
        <w:rPr>
          <w:lang w:val="id-ID"/>
        </w:rPr>
        <w:fldChar w:fldCharType="end"/>
      </w:r>
    </w:p>
    <w:p w14:paraId="3EC9859D" w14:textId="77777777" w:rsidR="003C6F7D" w:rsidRPr="00BA472B" w:rsidRDefault="003C6F7D" w:rsidP="007D13A2">
      <w:pPr>
        <w:spacing w:line="276" w:lineRule="auto"/>
        <w:rPr>
          <w:b/>
          <w:lang w:val="id-ID"/>
        </w:rPr>
      </w:pPr>
    </w:p>
    <w:sectPr w:rsidR="003C6F7D" w:rsidRPr="00BA472B" w:rsidSect="0048388F">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7B188" w14:textId="77777777" w:rsidR="0029501E" w:rsidRDefault="0029501E" w:rsidP="008B592F">
      <w:r>
        <w:separator/>
      </w:r>
    </w:p>
  </w:endnote>
  <w:endnote w:type="continuationSeparator" w:id="0">
    <w:p w14:paraId="729542DE" w14:textId="77777777" w:rsidR="0029501E" w:rsidRDefault="0029501E" w:rsidP="008B5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64ECB" w14:textId="77777777" w:rsidR="00B51BB6" w:rsidRDefault="00B51B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0264453"/>
      <w:docPartObj>
        <w:docPartGallery w:val="Page Numbers (Bottom of Page)"/>
        <w:docPartUnique/>
      </w:docPartObj>
    </w:sdtPr>
    <w:sdtEndPr>
      <w:rPr>
        <w:noProof/>
      </w:rPr>
    </w:sdtEndPr>
    <w:sdtContent>
      <w:p w14:paraId="1A3B088E" w14:textId="27271746" w:rsidR="00223312" w:rsidRDefault="002233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09D486" w14:textId="77777777" w:rsidR="00223312" w:rsidRDefault="00223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E8356" w14:textId="77777777" w:rsidR="00B51BB6" w:rsidRDefault="00B51B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0AC8D" w14:textId="77777777" w:rsidR="0029501E" w:rsidRDefault="0029501E" w:rsidP="008B592F">
      <w:r>
        <w:separator/>
      </w:r>
    </w:p>
  </w:footnote>
  <w:footnote w:type="continuationSeparator" w:id="0">
    <w:p w14:paraId="637ADC3D" w14:textId="77777777" w:rsidR="0029501E" w:rsidRDefault="0029501E" w:rsidP="008B5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82D8E" w14:textId="77777777" w:rsidR="00B51BB6" w:rsidRDefault="00B51B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45F07" w14:textId="02271E74" w:rsidR="003057C7" w:rsidRPr="00223312" w:rsidRDefault="00223312" w:rsidP="00223312">
    <w:pPr>
      <w:pStyle w:val="Header"/>
      <w:tabs>
        <w:tab w:val="clear" w:pos="4513"/>
        <w:tab w:val="clear" w:pos="9026"/>
        <w:tab w:val="right" w:pos="0"/>
      </w:tabs>
      <w:jc w:val="right"/>
      <w:rPr>
        <w:b/>
      </w:rPr>
    </w:pPr>
    <w:bookmarkStart w:id="1" w:name="_Hlk73587032"/>
    <w:bookmarkStart w:id="2" w:name="_Hlk73587033"/>
    <w:bookmarkStart w:id="3" w:name="_Hlk73587034"/>
    <w:bookmarkStart w:id="4" w:name="_Hlk73587035"/>
    <w:bookmarkStart w:id="5" w:name="_GoBack"/>
    <w:r>
      <w:rPr>
        <w:b/>
        <w:lang w:val="id-ID"/>
      </w:rPr>
      <w:ptab w:relativeTo="margin" w:alignment="left" w:leader="none"/>
    </w:r>
    <w:r>
      <w:rPr>
        <w:b/>
        <w:lang w:val="id-ID"/>
      </w:rPr>
      <w:ptab w:relativeTo="margin" w:alignment="left" w:leader="none"/>
    </w:r>
    <w:r>
      <w:rPr>
        <w:b/>
      </w:rPr>
      <w:t xml:space="preserve">HARENA: </w:t>
    </w:r>
    <w:proofErr w:type="spellStart"/>
    <w:r>
      <w:rPr>
        <w:b/>
      </w:rPr>
      <w:t>Jurnal</w:t>
    </w:r>
    <w:proofErr w:type="spellEnd"/>
    <w:r>
      <w:rPr>
        <w:b/>
      </w:rPr>
      <w:t xml:space="preserve"> </w:t>
    </w:r>
    <w:proofErr w:type="spellStart"/>
    <w:r>
      <w:rPr>
        <w:b/>
      </w:rPr>
      <w:t>Gizi</w:t>
    </w:r>
    <w:proofErr w:type="spellEnd"/>
    <w:r>
      <w:rPr>
        <w:b/>
      </w:rPr>
      <w:t xml:space="preserve"> Vol. 2, No. 1</w:t>
    </w:r>
    <w:r w:rsidR="00B51BB6">
      <w:rPr>
        <w:b/>
      </w:rPr>
      <w:br/>
      <w:t>e-ISSN: 2774-7654</w:t>
    </w:r>
    <w:bookmarkEnd w:id="1"/>
    <w:bookmarkEnd w:id="2"/>
    <w:bookmarkEnd w:id="3"/>
    <w:bookmarkEnd w:id="4"/>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92828" w14:textId="77777777" w:rsidR="00B51BB6" w:rsidRDefault="00B51B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A76D1"/>
    <w:multiLevelType w:val="hybridMultilevel"/>
    <w:tmpl w:val="E7EA9B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311609"/>
    <w:multiLevelType w:val="hybridMultilevel"/>
    <w:tmpl w:val="98AA4C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D41385"/>
    <w:multiLevelType w:val="hybridMultilevel"/>
    <w:tmpl w:val="618212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5827DF5"/>
    <w:multiLevelType w:val="hybridMultilevel"/>
    <w:tmpl w:val="FAA4FD6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7BAA7A94"/>
    <w:multiLevelType w:val="hybridMultilevel"/>
    <w:tmpl w:val="48E876A4"/>
    <w:lvl w:ilvl="0" w:tplc="F9247D2C">
      <w:start w:val="1"/>
      <w:numFmt w:val="upperRoman"/>
      <w:lvlText w:val="%1."/>
      <w:lvlJc w:val="left"/>
      <w:pPr>
        <w:ind w:left="1080" w:hanging="720"/>
      </w:pPr>
      <w:rPr>
        <w:rFonts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7E491852"/>
    <w:multiLevelType w:val="multilevel"/>
    <w:tmpl w:val="40D0FA12"/>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5EA3"/>
    <w:rsid w:val="00003C8E"/>
    <w:rsid w:val="00031F09"/>
    <w:rsid w:val="00037824"/>
    <w:rsid w:val="0004548F"/>
    <w:rsid w:val="00046C9C"/>
    <w:rsid w:val="0005080C"/>
    <w:rsid w:val="00053936"/>
    <w:rsid w:val="000570A3"/>
    <w:rsid w:val="00062156"/>
    <w:rsid w:val="000636BA"/>
    <w:rsid w:val="00064A81"/>
    <w:rsid w:val="000653F9"/>
    <w:rsid w:val="00067C22"/>
    <w:rsid w:val="00074A25"/>
    <w:rsid w:val="000762CE"/>
    <w:rsid w:val="00092A68"/>
    <w:rsid w:val="000A1226"/>
    <w:rsid w:val="000B5A36"/>
    <w:rsid w:val="000C4F6F"/>
    <w:rsid w:val="000C6E9E"/>
    <w:rsid w:val="000D7F3D"/>
    <w:rsid w:val="00113A7D"/>
    <w:rsid w:val="00116EC0"/>
    <w:rsid w:val="00121C7E"/>
    <w:rsid w:val="00126CA4"/>
    <w:rsid w:val="001301F6"/>
    <w:rsid w:val="001316B8"/>
    <w:rsid w:val="00144E30"/>
    <w:rsid w:val="0014763A"/>
    <w:rsid w:val="00147688"/>
    <w:rsid w:val="001551A8"/>
    <w:rsid w:val="00161326"/>
    <w:rsid w:val="00163A20"/>
    <w:rsid w:val="00167388"/>
    <w:rsid w:val="00167706"/>
    <w:rsid w:val="00180933"/>
    <w:rsid w:val="001825A0"/>
    <w:rsid w:val="00194494"/>
    <w:rsid w:val="001A11AC"/>
    <w:rsid w:val="001A4705"/>
    <w:rsid w:val="001A6796"/>
    <w:rsid w:val="001A6C7A"/>
    <w:rsid w:val="001C0F67"/>
    <w:rsid w:val="001C30D5"/>
    <w:rsid w:val="001D6153"/>
    <w:rsid w:val="001E0162"/>
    <w:rsid w:val="001E1631"/>
    <w:rsid w:val="001E5088"/>
    <w:rsid w:val="001E5DCA"/>
    <w:rsid w:val="001E6E0B"/>
    <w:rsid w:val="001E75DC"/>
    <w:rsid w:val="00223312"/>
    <w:rsid w:val="002329EF"/>
    <w:rsid w:val="002451FD"/>
    <w:rsid w:val="00247D4D"/>
    <w:rsid w:val="00256360"/>
    <w:rsid w:val="002575C9"/>
    <w:rsid w:val="00264CC5"/>
    <w:rsid w:val="0029501E"/>
    <w:rsid w:val="002965DD"/>
    <w:rsid w:val="0029677B"/>
    <w:rsid w:val="002A1A13"/>
    <w:rsid w:val="002A3060"/>
    <w:rsid w:val="002A67C7"/>
    <w:rsid w:val="002A719A"/>
    <w:rsid w:val="002B7D68"/>
    <w:rsid w:val="002C01F8"/>
    <w:rsid w:val="002E1594"/>
    <w:rsid w:val="002F4F7A"/>
    <w:rsid w:val="002F5E7C"/>
    <w:rsid w:val="00300C5D"/>
    <w:rsid w:val="0030408A"/>
    <w:rsid w:val="003045E4"/>
    <w:rsid w:val="003057C7"/>
    <w:rsid w:val="00306763"/>
    <w:rsid w:val="00314B19"/>
    <w:rsid w:val="003254BC"/>
    <w:rsid w:val="00337A5E"/>
    <w:rsid w:val="00344692"/>
    <w:rsid w:val="00345C16"/>
    <w:rsid w:val="00350523"/>
    <w:rsid w:val="0036014C"/>
    <w:rsid w:val="003745D7"/>
    <w:rsid w:val="003826C0"/>
    <w:rsid w:val="00384488"/>
    <w:rsid w:val="0039431F"/>
    <w:rsid w:val="00394926"/>
    <w:rsid w:val="00397AE2"/>
    <w:rsid w:val="003A1077"/>
    <w:rsid w:val="003A598B"/>
    <w:rsid w:val="003C41D6"/>
    <w:rsid w:val="003C6F7D"/>
    <w:rsid w:val="003D0ED6"/>
    <w:rsid w:val="003E37AB"/>
    <w:rsid w:val="003F381C"/>
    <w:rsid w:val="0042741B"/>
    <w:rsid w:val="00445EF4"/>
    <w:rsid w:val="00447A0B"/>
    <w:rsid w:val="004540B5"/>
    <w:rsid w:val="004541F9"/>
    <w:rsid w:val="00464F72"/>
    <w:rsid w:val="00467CE0"/>
    <w:rsid w:val="00473D4D"/>
    <w:rsid w:val="0048388F"/>
    <w:rsid w:val="0049742B"/>
    <w:rsid w:val="004A04D0"/>
    <w:rsid w:val="004A23E7"/>
    <w:rsid w:val="004A429F"/>
    <w:rsid w:val="004B3F46"/>
    <w:rsid w:val="004D7C28"/>
    <w:rsid w:val="004E5F0B"/>
    <w:rsid w:val="004F138B"/>
    <w:rsid w:val="00506649"/>
    <w:rsid w:val="00512E12"/>
    <w:rsid w:val="0052676C"/>
    <w:rsid w:val="00526BCE"/>
    <w:rsid w:val="005374D7"/>
    <w:rsid w:val="00575380"/>
    <w:rsid w:val="00591744"/>
    <w:rsid w:val="005B2F3D"/>
    <w:rsid w:val="005B533B"/>
    <w:rsid w:val="005D08CD"/>
    <w:rsid w:val="005E1ED3"/>
    <w:rsid w:val="0061579A"/>
    <w:rsid w:val="00617FDD"/>
    <w:rsid w:val="00624F9E"/>
    <w:rsid w:val="0063267C"/>
    <w:rsid w:val="00640508"/>
    <w:rsid w:val="006464BA"/>
    <w:rsid w:val="00650E80"/>
    <w:rsid w:val="0067224F"/>
    <w:rsid w:val="006730AF"/>
    <w:rsid w:val="00691397"/>
    <w:rsid w:val="006C4BFE"/>
    <w:rsid w:val="006C6EDE"/>
    <w:rsid w:val="006D3F8A"/>
    <w:rsid w:val="006D4252"/>
    <w:rsid w:val="006E2A51"/>
    <w:rsid w:val="006F46C1"/>
    <w:rsid w:val="00704776"/>
    <w:rsid w:val="00751A2F"/>
    <w:rsid w:val="0076017B"/>
    <w:rsid w:val="00765EB1"/>
    <w:rsid w:val="007959B4"/>
    <w:rsid w:val="007967DB"/>
    <w:rsid w:val="007B2E1E"/>
    <w:rsid w:val="007C6D16"/>
    <w:rsid w:val="007D13A2"/>
    <w:rsid w:val="00813DF2"/>
    <w:rsid w:val="00823649"/>
    <w:rsid w:val="00833CBE"/>
    <w:rsid w:val="0083796D"/>
    <w:rsid w:val="0085145D"/>
    <w:rsid w:val="0086236F"/>
    <w:rsid w:val="00865A74"/>
    <w:rsid w:val="0087422E"/>
    <w:rsid w:val="008744ED"/>
    <w:rsid w:val="00876F62"/>
    <w:rsid w:val="008977B7"/>
    <w:rsid w:val="008A09D8"/>
    <w:rsid w:val="008A1054"/>
    <w:rsid w:val="008A3BDA"/>
    <w:rsid w:val="008A78F9"/>
    <w:rsid w:val="008B54B3"/>
    <w:rsid w:val="008B592F"/>
    <w:rsid w:val="008B5FA5"/>
    <w:rsid w:val="008C2E60"/>
    <w:rsid w:val="008C3FAA"/>
    <w:rsid w:val="008C5971"/>
    <w:rsid w:val="008C675A"/>
    <w:rsid w:val="008E0A7B"/>
    <w:rsid w:val="008F02CC"/>
    <w:rsid w:val="00916A33"/>
    <w:rsid w:val="00924F0F"/>
    <w:rsid w:val="00945B45"/>
    <w:rsid w:val="009523C6"/>
    <w:rsid w:val="009550DA"/>
    <w:rsid w:val="00962F1D"/>
    <w:rsid w:val="00986144"/>
    <w:rsid w:val="009A0B8A"/>
    <w:rsid w:val="009A45E9"/>
    <w:rsid w:val="009A7572"/>
    <w:rsid w:val="009A7BDB"/>
    <w:rsid w:val="009B2232"/>
    <w:rsid w:val="009C11AC"/>
    <w:rsid w:val="009C5466"/>
    <w:rsid w:val="009D08D1"/>
    <w:rsid w:val="009E4298"/>
    <w:rsid w:val="009E71E2"/>
    <w:rsid w:val="009F664C"/>
    <w:rsid w:val="00A11E3E"/>
    <w:rsid w:val="00A12225"/>
    <w:rsid w:val="00A2215A"/>
    <w:rsid w:val="00A378D5"/>
    <w:rsid w:val="00A4295C"/>
    <w:rsid w:val="00A72111"/>
    <w:rsid w:val="00A76513"/>
    <w:rsid w:val="00A772AF"/>
    <w:rsid w:val="00A924D5"/>
    <w:rsid w:val="00A942D2"/>
    <w:rsid w:val="00A94EA6"/>
    <w:rsid w:val="00AA44A1"/>
    <w:rsid w:val="00AA5E49"/>
    <w:rsid w:val="00AB0D0F"/>
    <w:rsid w:val="00AB0ED7"/>
    <w:rsid w:val="00AB2705"/>
    <w:rsid w:val="00AB35D2"/>
    <w:rsid w:val="00AC4186"/>
    <w:rsid w:val="00AD5228"/>
    <w:rsid w:val="00AD5482"/>
    <w:rsid w:val="00AE1B6B"/>
    <w:rsid w:val="00AE4EA2"/>
    <w:rsid w:val="00AE53D5"/>
    <w:rsid w:val="00AF2C3F"/>
    <w:rsid w:val="00B12890"/>
    <w:rsid w:val="00B1759C"/>
    <w:rsid w:val="00B229C1"/>
    <w:rsid w:val="00B267CA"/>
    <w:rsid w:val="00B33648"/>
    <w:rsid w:val="00B47E2B"/>
    <w:rsid w:val="00B51BB6"/>
    <w:rsid w:val="00B654B7"/>
    <w:rsid w:val="00B81E2A"/>
    <w:rsid w:val="00B93999"/>
    <w:rsid w:val="00BA04EF"/>
    <w:rsid w:val="00BA2B4D"/>
    <w:rsid w:val="00BA472B"/>
    <w:rsid w:val="00BB7815"/>
    <w:rsid w:val="00BD67ED"/>
    <w:rsid w:val="00BE5F99"/>
    <w:rsid w:val="00BF18D0"/>
    <w:rsid w:val="00BF3E4F"/>
    <w:rsid w:val="00C17B14"/>
    <w:rsid w:val="00C22229"/>
    <w:rsid w:val="00C37EC8"/>
    <w:rsid w:val="00C42BCB"/>
    <w:rsid w:val="00C510A9"/>
    <w:rsid w:val="00C539DC"/>
    <w:rsid w:val="00C7203D"/>
    <w:rsid w:val="00C74B83"/>
    <w:rsid w:val="00C779C6"/>
    <w:rsid w:val="00C80427"/>
    <w:rsid w:val="00C83390"/>
    <w:rsid w:val="00C9681B"/>
    <w:rsid w:val="00C97C0C"/>
    <w:rsid w:val="00CB3864"/>
    <w:rsid w:val="00CB3F2A"/>
    <w:rsid w:val="00CB4975"/>
    <w:rsid w:val="00CB6432"/>
    <w:rsid w:val="00CB720E"/>
    <w:rsid w:val="00CC1B2A"/>
    <w:rsid w:val="00CC7D1B"/>
    <w:rsid w:val="00CF5CFD"/>
    <w:rsid w:val="00CF7E15"/>
    <w:rsid w:val="00D00C58"/>
    <w:rsid w:val="00D04037"/>
    <w:rsid w:val="00D050FD"/>
    <w:rsid w:val="00D06562"/>
    <w:rsid w:val="00D07BD5"/>
    <w:rsid w:val="00D112EB"/>
    <w:rsid w:val="00D2489A"/>
    <w:rsid w:val="00D47673"/>
    <w:rsid w:val="00D50DA7"/>
    <w:rsid w:val="00D5468F"/>
    <w:rsid w:val="00D60A93"/>
    <w:rsid w:val="00D86091"/>
    <w:rsid w:val="00D87829"/>
    <w:rsid w:val="00DA4719"/>
    <w:rsid w:val="00DB6592"/>
    <w:rsid w:val="00DC2B45"/>
    <w:rsid w:val="00DD1614"/>
    <w:rsid w:val="00DD40A2"/>
    <w:rsid w:val="00DD4207"/>
    <w:rsid w:val="00DD701C"/>
    <w:rsid w:val="00DF4DEA"/>
    <w:rsid w:val="00E064EC"/>
    <w:rsid w:val="00E06E58"/>
    <w:rsid w:val="00E104AC"/>
    <w:rsid w:val="00E10D93"/>
    <w:rsid w:val="00E136DE"/>
    <w:rsid w:val="00E208BA"/>
    <w:rsid w:val="00E37D2E"/>
    <w:rsid w:val="00E44B0B"/>
    <w:rsid w:val="00E70A0D"/>
    <w:rsid w:val="00E7102E"/>
    <w:rsid w:val="00E82795"/>
    <w:rsid w:val="00E82806"/>
    <w:rsid w:val="00E8518D"/>
    <w:rsid w:val="00E85EA3"/>
    <w:rsid w:val="00EC11FC"/>
    <w:rsid w:val="00EC62EA"/>
    <w:rsid w:val="00EC7B50"/>
    <w:rsid w:val="00ED0C74"/>
    <w:rsid w:val="00EF00A3"/>
    <w:rsid w:val="00EF125C"/>
    <w:rsid w:val="00F0228F"/>
    <w:rsid w:val="00F05792"/>
    <w:rsid w:val="00F06A13"/>
    <w:rsid w:val="00F42707"/>
    <w:rsid w:val="00F47470"/>
    <w:rsid w:val="00F512E3"/>
    <w:rsid w:val="00F57FEB"/>
    <w:rsid w:val="00F62B17"/>
    <w:rsid w:val="00F62D96"/>
    <w:rsid w:val="00F644FC"/>
    <w:rsid w:val="00F64B56"/>
    <w:rsid w:val="00F678FA"/>
    <w:rsid w:val="00F7253A"/>
    <w:rsid w:val="00F73C2A"/>
    <w:rsid w:val="00F868E8"/>
    <w:rsid w:val="00F904A9"/>
    <w:rsid w:val="00FA13BB"/>
    <w:rsid w:val="00FA2344"/>
    <w:rsid w:val="00FA3DC5"/>
    <w:rsid w:val="00FC4A1A"/>
    <w:rsid w:val="00FF30F4"/>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983D2"/>
  <w15:docId w15:val="{DC4E4262-15F7-42E6-A8E3-E8FC8F66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4B56"/>
    <w:pPr>
      <w:spacing w:after="0" w:line="240" w:lineRule="auto"/>
      <w:jc w:val="both"/>
    </w:pPr>
    <w:rPr>
      <w:rFonts w:ascii="Times New Roman" w:eastAsia="Calibri" w:hAnsi="Times New Roman" w:cs="Times New Roman"/>
      <w:lang w:val="en-US"/>
    </w:rPr>
  </w:style>
  <w:style w:type="paragraph" w:styleId="Heading1">
    <w:name w:val="heading 1"/>
    <w:basedOn w:val="Normal"/>
    <w:next w:val="Normal"/>
    <w:link w:val="Heading1Char"/>
    <w:uiPriority w:val="9"/>
    <w:qFormat/>
    <w:rsid w:val="007D13A2"/>
    <w:pPr>
      <w:keepNext/>
      <w:keepLines/>
      <w:spacing w:before="480" w:line="360" w:lineRule="auto"/>
      <w:outlineLvl w:val="0"/>
    </w:pPr>
    <w:rPr>
      <w:rFonts w:ascii="Cambria" w:eastAsia="Times New Roman" w:hAnsi="Cambria"/>
      <w:b/>
      <w:bCs/>
      <w:color w:val="365F91"/>
      <w:sz w:val="28"/>
      <w:szCs w:val="2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4B56"/>
    <w:pPr>
      <w:spacing w:before="100" w:beforeAutospacing="1" w:after="100" w:afterAutospacing="1"/>
      <w:jc w:val="left"/>
    </w:pPr>
    <w:rPr>
      <w:rFonts w:eastAsia="Times New Roman"/>
      <w:sz w:val="24"/>
      <w:szCs w:val="24"/>
      <w:lang w:val="id-ID" w:eastAsia="id-ID"/>
    </w:rPr>
  </w:style>
  <w:style w:type="paragraph" w:styleId="ListParagraph">
    <w:name w:val="List Paragraph"/>
    <w:aliases w:val="1.2"/>
    <w:basedOn w:val="Normal"/>
    <w:link w:val="ListParagraphChar"/>
    <w:uiPriority w:val="34"/>
    <w:qFormat/>
    <w:rsid w:val="008A09D8"/>
    <w:pPr>
      <w:spacing w:after="160" w:line="360" w:lineRule="auto"/>
      <w:ind w:left="720"/>
      <w:contextualSpacing/>
    </w:pPr>
    <w:rPr>
      <w:rFonts w:eastAsia="Times New Roman"/>
      <w:sz w:val="24"/>
      <w:lang w:val="id-ID"/>
    </w:rPr>
  </w:style>
  <w:style w:type="character" w:customStyle="1" w:styleId="ListParagraphChar">
    <w:name w:val="List Paragraph Char"/>
    <w:aliases w:val="1.2 Char"/>
    <w:link w:val="ListParagraph"/>
    <w:uiPriority w:val="34"/>
    <w:locked/>
    <w:rsid w:val="008A09D8"/>
    <w:rPr>
      <w:rFonts w:ascii="Times New Roman" w:eastAsia="Times New Roman" w:hAnsi="Times New Roman" w:cs="Times New Roman"/>
      <w:sz w:val="24"/>
    </w:rPr>
  </w:style>
  <w:style w:type="character" w:styleId="Hyperlink">
    <w:name w:val="Hyperlink"/>
    <w:basedOn w:val="DefaultParagraphFont"/>
    <w:uiPriority w:val="99"/>
    <w:semiHidden/>
    <w:unhideWhenUsed/>
    <w:rsid w:val="003C6F7D"/>
    <w:rPr>
      <w:color w:val="0000FF"/>
      <w:u w:val="single"/>
    </w:rPr>
  </w:style>
  <w:style w:type="paragraph" w:styleId="Header">
    <w:name w:val="header"/>
    <w:basedOn w:val="Normal"/>
    <w:link w:val="HeaderChar"/>
    <w:uiPriority w:val="99"/>
    <w:unhideWhenUsed/>
    <w:rsid w:val="008B592F"/>
    <w:pPr>
      <w:tabs>
        <w:tab w:val="center" w:pos="4513"/>
        <w:tab w:val="right" w:pos="9026"/>
      </w:tabs>
    </w:pPr>
  </w:style>
  <w:style w:type="character" w:customStyle="1" w:styleId="HeaderChar">
    <w:name w:val="Header Char"/>
    <w:basedOn w:val="DefaultParagraphFont"/>
    <w:link w:val="Header"/>
    <w:uiPriority w:val="99"/>
    <w:rsid w:val="008B592F"/>
    <w:rPr>
      <w:rFonts w:ascii="Times New Roman" w:eastAsia="Calibri" w:hAnsi="Times New Roman" w:cs="Times New Roman"/>
      <w:lang w:val="en-US"/>
    </w:rPr>
  </w:style>
  <w:style w:type="paragraph" w:styleId="Footer">
    <w:name w:val="footer"/>
    <w:basedOn w:val="Normal"/>
    <w:link w:val="FooterChar"/>
    <w:uiPriority w:val="99"/>
    <w:unhideWhenUsed/>
    <w:rsid w:val="008B592F"/>
    <w:pPr>
      <w:tabs>
        <w:tab w:val="center" w:pos="4513"/>
        <w:tab w:val="right" w:pos="9026"/>
      </w:tabs>
    </w:pPr>
  </w:style>
  <w:style w:type="character" w:customStyle="1" w:styleId="FooterChar">
    <w:name w:val="Footer Char"/>
    <w:basedOn w:val="DefaultParagraphFont"/>
    <w:link w:val="Footer"/>
    <w:uiPriority w:val="99"/>
    <w:rsid w:val="008B592F"/>
    <w:rPr>
      <w:rFonts w:ascii="Times New Roman" w:eastAsia="Calibri" w:hAnsi="Times New Roman" w:cs="Times New Roman"/>
      <w:lang w:val="en-US"/>
    </w:rPr>
  </w:style>
  <w:style w:type="character" w:customStyle="1" w:styleId="Heading1Char">
    <w:name w:val="Heading 1 Char"/>
    <w:basedOn w:val="DefaultParagraphFont"/>
    <w:link w:val="Heading1"/>
    <w:uiPriority w:val="9"/>
    <w:rsid w:val="007D13A2"/>
    <w:rPr>
      <w:rFonts w:ascii="Cambria" w:eastAsia="Times New Roman" w:hAnsi="Cambria" w:cs="Times New Roman"/>
      <w:b/>
      <w:bCs/>
      <w:color w:val="365F91"/>
      <w:sz w:val="28"/>
      <w:szCs w:val="28"/>
    </w:rPr>
  </w:style>
  <w:style w:type="character" w:styleId="PlaceholderText">
    <w:name w:val="Placeholder Text"/>
    <w:basedOn w:val="DefaultParagraphFont"/>
    <w:uiPriority w:val="99"/>
    <w:semiHidden/>
    <w:rsid w:val="008B54B3"/>
    <w:rPr>
      <w:color w:val="808080"/>
    </w:rPr>
  </w:style>
  <w:style w:type="paragraph" w:styleId="EndnoteText">
    <w:name w:val="endnote text"/>
    <w:basedOn w:val="Normal"/>
    <w:link w:val="EndnoteTextChar"/>
    <w:uiPriority w:val="99"/>
    <w:semiHidden/>
    <w:unhideWhenUsed/>
    <w:rsid w:val="006464BA"/>
    <w:rPr>
      <w:sz w:val="20"/>
      <w:szCs w:val="20"/>
    </w:rPr>
  </w:style>
  <w:style w:type="character" w:customStyle="1" w:styleId="EndnoteTextChar">
    <w:name w:val="Endnote Text Char"/>
    <w:basedOn w:val="DefaultParagraphFont"/>
    <w:link w:val="EndnoteText"/>
    <w:uiPriority w:val="99"/>
    <w:semiHidden/>
    <w:rsid w:val="006464BA"/>
    <w:rPr>
      <w:rFonts w:ascii="Times New Roman" w:eastAsia="Calibri" w:hAnsi="Times New Roman" w:cs="Times New Roman"/>
      <w:sz w:val="20"/>
      <w:szCs w:val="20"/>
      <w:lang w:val="en-US"/>
    </w:rPr>
  </w:style>
  <w:style w:type="character" w:styleId="EndnoteReference">
    <w:name w:val="endnote reference"/>
    <w:basedOn w:val="DefaultParagraphFont"/>
    <w:uiPriority w:val="99"/>
    <w:semiHidden/>
    <w:unhideWhenUsed/>
    <w:rsid w:val="006464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4F56D20-29C6-4C75-906B-B41A682A7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13748</Words>
  <Characters>78365</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ASUS</cp:lastModifiedBy>
  <cp:revision>33</cp:revision>
  <cp:lastPrinted>2021-03-27T06:06:00Z</cp:lastPrinted>
  <dcterms:created xsi:type="dcterms:W3CDTF">2021-05-11T03:22:00Z</dcterms:created>
  <dcterms:modified xsi:type="dcterms:W3CDTF">2021-06-03T11:31:00Z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74480d24-aed9-3123-af25-ecb92dfdf186</vt:lpwstr>
  </property>
  <property fmtid="{D5CDD505-2E9C-101B-9397-08002B2CF9AE}" pid="24" name="Mendeley Citation Style_1">
    <vt:lpwstr>http://www.zotero.org/styles/vancouver-superscript</vt:lpwstr>
  </property>
</Properties>
</file>